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黑体"/>
          <w:sz w:val="28"/>
        </w:rPr>
      </w:pPr>
      <w:r>
        <w:rPr>
          <w:rFonts w:hint="eastAsia" w:eastAsia="黑体"/>
          <w:sz w:val="44"/>
        </w:rPr>
        <w:t xml:space="preserve">                       </w:t>
      </w:r>
      <w:r>
        <w:rPr>
          <w:rFonts w:hint="eastAsia" w:eastAsia="黑体"/>
          <w:sz w:val="28"/>
        </w:rPr>
        <w:t>编号：</w:t>
      </w:r>
      <w:r>
        <w:rPr>
          <w:rFonts w:hint="eastAsia" w:eastAsia="黑体"/>
          <w:sz w:val="28"/>
          <w:u w:val="single"/>
        </w:rPr>
        <w:t xml:space="preserve">        </w:t>
      </w:r>
    </w:p>
    <w:p>
      <w:pPr>
        <w:jc w:val="center"/>
        <w:rPr>
          <w:rFonts w:eastAsia="黑体"/>
          <w:sz w:val="72"/>
          <w:szCs w:val="72"/>
        </w:rPr>
      </w:pPr>
      <w:r>
        <w:rPr>
          <w:rFonts w:hint="eastAsia" w:eastAsia="黑体"/>
          <w:sz w:val="72"/>
          <w:szCs w:val="72"/>
        </w:rPr>
        <w:t>海南师范大学</w:t>
      </w:r>
    </w:p>
    <w:p>
      <w:pPr>
        <w:jc w:val="center"/>
        <w:rPr>
          <w:rFonts w:eastAsia="黑体"/>
          <w:sz w:val="72"/>
          <w:szCs w:val="72"/>
        </w:rPr>
      </w:pPr>
      <w:r>
        <w:rPr>
          <w:rFonts w:hint="eastAsia" w:eastAsia="黑体"/>
          <w:sz w:val="72"/>
          <w:szCs w:val="72"/>
        </w:rPr>
        <w:t>专业技术资格评审表</w:t>
      </w:r>
    </w:p>
    <w:p>
      <w:pPr>
        <w:jc w:val="center"/>
        <w:rPr>
          <w:rFonts w:ascii="宋体" w:hAnsi="宋体"/>
          <w:sz w:val="52"/>
        </w:rPr>
      </w:pPr>
      <w:r>
        <w:rPr>
          <w:rFonts w:hint="eastAsia" w:ascii="宋体" w:hAnsi="宋体"/>
          <w:sz w:val="52"/>
        </w:rPr>
        <w:t>（</w:t>
      </w:r>
      <w:r>
        <w:rPr>
          <w:rFonts w:ascii="Times New Roman" w:hAnsi="Times New Roman" w:cs="Times New Roman"/>
          <w:sz w:val="52"/>
          <w:u w:val="single"/>
        </w:rPr>
        <w:t xml:space="preserve"> 2020 </w:t>
      </w:r>
      <w:r>
        <w:rPr>
          <w:rFonts w:hint="eastAsia" w:ascii="宋体" w:hAnsi="宋体"/>
          <w:sz w:val="52"/>
        </w:rPr>
        <w:t>年度）</w:t>
      </w:r>
    </w:p>
    <w:p>
      <w:pPr>
        <w:jc w:val="center"/>
        <w:rPr>
          <w:rFonts w:ascii="宋体" w:hAnsi="宋体"/>
          <w:sz w:val="52"/>
        </w:rPr>
      </w:pPr>
      <w:r>
        <w:rPr>
          <w:rFonts w:hint="eastAsia" w:ascii="宋体" w:hAnsi="宋体"/>
          <w:sz w:val="52"/>
        </w:rPr>
        <w:t>（实验系列专用）</w:t>
      </w:r>
    </w:p>
    <w:p>
      <w:pPr>
        <w:rPr>
          <w:sz w:val="30"/>
        </w:rPr>
      </w:pPr>
    </w:p>
    <w:p>
      <w:pPr>
        <w:ind w:firstLine="1960" w:firstLineChars="700"/>
        <w:rPr>
          <w:sz w:val="28"/>
        </w:rPr>
      </w:pPr>
    </w:p>
    <w:p>
      <w:pPr>
        <w:ind w:firstLine="1960" w:firstLineChars="700"/>
        <w:rPr>
          <w:sz w:val="28"/>
          <w:u w:val="single"/>
        </w:rPr>
      </w:pPr>
      <w:r>
        <w:rPr>
          <w:rFonts w:hint="eastAsia"/>
          <w:sz w:val="28"/>
        </w:rPr>
        <w:t xml:space="preserve">单   位 ： </w:t>
      </w:r>
      <w:r>
        <w:rPr>
          <w:rFonts w:hint="eastAsia" w:asciiTheme="minorEastAsia" w:hAnsiTheme="minorEastAsia"/>
          <w:sz w:val="28"/>
          <w:u w:val="single"/>
        </w:rPr>
        <w:t xml:space="preserve">        </w:t>
      </w:r>
      <w:r>
        <w:rPr>
          <w:rFonts w:hint="eastAsia"/>
          <w:sz w:val="24"/>
          <w:szCs w:val="24"/>
          <w:u w:val="single"/>
        </w:rPr>
        <w:t>化学与化工学院</w:t>
      </w:r>
      <w:r>
        <w:rPr>
          <w:rFonts w:hint="eastAsia" w:asciiTheme="minorEastAsia" w:hAnsiTheme="minorEastAsia"/>
          <w:sz w:val="28"/>
          <w:u w:val="single"/>
        </w:rPr>
        <w:t xml:space="preserve">         </w:t>
      </w:r>
    </w:p>
    <w:p>
      <w:pPr>
        <w:ind w:firstLine="1960" w:firstLineChars="700"/>
        <w:rPr>
          <w:sz w:val="28"/>
        </w:rPr>
      </w:pPr>
    </w:p>
    <w:p>
      <w:pPr>
        <w:ind w:firstLine="1960" w:firstLineChars="700"/>
        <w:rPr>
          <w:sz w:val="30"/>
          <w:u w:val="single"/>
        </w:rPr>
      </w:pPr>
      <w:r>
        <w:rPr>
          <w:rFonts w:hint="eastAsia"/>
          <w:sz w:val="28"/>
        </w:rPr>
        <w:t xml:space="preserve">姓   名 </w:t>
      </w:r>
      <w:r>
        <w:rPr>
          <w:rFonts w:hint="eastAsia"/>
          <w:sz w:val="30"/>
        </w:rPr>
        <w:t xml:space="preserve">： </w:t>
      </w:r>
      <w:r>
        <w:rPr>
          <w:rFonts w:hint="eastAsia" w:asciiTheme="minorEastAsia" w:hAnsiTheme="minorEastAsia"/>
          <w:sz w:val="30"/>
          <w:u w:val="single"/>
        </w:rPr>
        <w:t xml:space="preserve">         </w:t>
      </w:r>
      <w:r>
        <w:rPr>
          <w:rFonts w:hint="eastAsia"/>
          <w:sz w:val="24"/>
          <w:szCs w:val="24"/>
          <w:u w:val="single"/>
        </w:rPr>
        <w:t>牛  燕  燕</w:t>
      </w:r>
      <w:r>
        <w:rPr>
          <w:rFonts w:hint="eastAsia" w:asciiTheme="minorEastAsia" w:hAnsiTheme="minorEastAsia"/>
          <w:sz w:val="30"/>
          <w:u w:val="single"/>
        </w:rPr>
        <w:t xml:space="preserve">          </w:t>
      </w:r>
    </w:p>
    <w:p>
      <w:pPr>
        <w:ind w:firstLine="1920" w:firstLineChars="800"/>
        <w:rPr>
          <w:sz w:val="24"/>
        </w:rPr>
      </w:pPr>
    </w:p>
    <w:p>
      <w:pPr>
        <w:ind w:firstLine="1920" w:firstLineChars="800"/>
        <w:rPr>
          <w:sz w:val="24"/>
          <w:u w:val="single"/>
        </w:rPr>
      </w:pPr>
      <w:r>
        <w:rPr>
          <w:rFonts w:hint="eastAsia"/>
          <w:sz w:val="24"/>
        </w:rPr>
        <w:t xml:space="preserve">现任专业   </w:t>
      </w:r>
    </w:p>
    <w:p>
      <w:pPr>
        <w:ind w:firstLine="1920" w:firstLineChars="800"/>
        <w:rPr>
          <w:sz w:val="24"/>
          <w:u w:val="single"/>
        </w:rPr>
      </w:pPr>
      <w:r>
        <w:rPr>
          <w:rFonts w:hint="eastAsia"/>
          <w:sz w:val="24"/>
        </w:rPr>
        <w:t xml:space="preserve">技术职务  ： </w:t>
      </w:r>
      <w:r>
        <w:rPr>
          <w:rFonts w:hint="eastAsia"/>
          <w:sz w:val="24"/>
          <w:u w:val="single"/>
        </w:rPr>
        <w:t xml:space="preserve">            </w:t>
      </w:r>
      <w:r>
        <w:rPr>
          <w:rFonts w:hint="eastAsia"/>
          <w:sz w:val="24"/>
          <w:szCs w:val="24"/>
          <w:u w:val="single"/>
        </w:rPr>
        <w:t>实  验  师</w:t>
      </w:r>
      <w:r>
        <w:rPr>
          <w:rFonts w:hint="eastAsia"/>
          <w:sz w:val="24"/>
          <w:u w:val="single"/>
        </w:rPr>
        <w:t xml:space="preserve">            </w:t>
      </w:r>
    </w:p>
    <w:p>
      <w:pPr>
        <w:ind w:firstLine="1920" w:firstLineChars="800"/>
        <w:rPr>
          <w:sz w:val="24"/>
          <w:u w:val="single"/>
        </w:rPr>
      </w:pPr>
    </w:p>
    <w:p>
      <w:pPr>
        <w:ind w:firstLine="1920" w:firstLineChars="800"/>
        <w:rPr>
          <w:sz w:val="24"/>
        </w:rPr>
      </w:pPr>
    </w:p>
    <w:p>
      <w:pPr>
        <w:ind w:firstLine="1920" w:firstLineChars="800"/>
        <w:rPr>
          <w:sz w:val="24"/>
          <w:u w:val="single"/>
        </w:rPr>
      </w:pPr>
      <w:r>
        <w:rPr>
          <w:rFonts w:hint="eastAsia"/>
          <w:sz w:val="24"/>
        </w:rPr>
        <w:t xml:space="preserve">申报专业  ： </w:t>
      </w:r>
      <w:r>
        <w:rPr>
          <w:rFonts w:hint="eastAsia"/>
          <w:sz w:val="24"/>
          <w:u w:val="single"/>
        </w:rPr>
        <w:t xml:space="preserve">             化    学             </w:t>
      </w:r>
    </w:p>
    <w:p>
      <w:pPr>
        <w:ind w:firstLine="1920" w:firstLineChars="800"/>
        <w:rPr>
          <w:sz w:val="24"/>
        </w:rPr>
      </w:pPr>
    </w:p>
    <w:p>
      <w:pPr>
        <w:ind w:firstLine="1920" w:firstLineChars="800"/>
        <w:rPr>
          <w:sz w:val="24"/>
        </w:rPr>
      </w:pPr>
    </w:p>
    <w:p>
      <w:pPr>
        <w:ind w:firstLine="1920" w:firstLineChars="800"/>
        <w:rPr>
          <w:sz w:val="24"/>
          <w:u w:val="single"/>
        </w:rPr>
      </w:pPr>
      <w:r>
        <w:rPr>
          <w:rFonts w:hint="eastAsia"/>
          <w:sz w:val="24"/>
        </w:rPr>
        <w:t xml:space="preserve">申报资格  ： </w:t>
      </w:r>
      <w:r>
        <w:rPr>
          <w:rFonts w:hint="eastAsia"/>
          <w:sz w:val="24"/>
          <w:u w:val="single"/>
        </w:rPr>
        <w:t xml:space="preserve">           高 级 实 验 师         </w:t>
      </w:r>
    </w:p>
    <w:p>
      <w:pPr>
        <w:ind w:firstLine="1920" w:firstLineChars="800"/>
        <w:rPr>
          <w:sz w:val="24"/>
        </w:rPr>
      </w:pPr>
    </w:p>
    <w:p>
      <w:pPr>
        <w:ind w:firstLine="1920" w:firstLineChars="800"/>
        <w:rPr>
          <w:sz w:val="24"/>
        </w:rPr>
      </w:pPr>
    </w:p>
    <w:p>
      <w:pPr>
        <w:ind w:firstLine="1920" w:firstLineChars="800"/>
        <w:rPr>
          <w:sz w:val="24"/>
          <w:u w:val="single"/>
        </w:rPr>
      </w:pPr>
      <w:r>
        <w:rPr>
          <w:rFonts w:hint="eastAsia"/>
          <w:sz w:val="24"/>
        </w:rPr>
        <w:t xml:space="preserve">联系电话  ： </w:t>
      </w:r>
      <w:r>
        <w:rPr>
          <w:rFonts w:hint="eastAsia"/>
          <w:sz w:val="24"/>
          <w:u w:val="single"/>
        </w:rPr>
        <w:t xml:space="preserve">           </w:t>
      </w:r>
      <w:r>
        <w:rPr>
          <w:rFonts w:ascii="Times New Roman" w:hAnsi="Times New Roman" w:cs="Times New Roman"/>
          <w:sz w:val="24"/>
          <w:u w:val="single"/>
        </w:rPr>
        <w:t xml:space="preserve"> 13700408177 </w:t>
      </w:r>
      <w:r>
        <w:rPr>
          <w:rFonts w:hint="eastAsia"/>
          <w:sz w:val="24"/>
          <w:u w:val="single"/>
        </w:rPr>
        <w:t xml:space="preserve">          </w:t>
      </w:r>
    </w:p>
    <w:p>
      <w:pPr>
        <w:ind w:firstLine="1920" w:firstLineChars="800"/>
        <w:rPr>
          <w:sz w:val="24"/>
        </w:rPr>
      </w:pPr>
    </w:p>
    <w:p>
      <w:pPr>
        <w:rPr>
          <w:sz w:val="24"/>
          <w:u w:val="single"/>
        </w:rPr>
      </w:pPr>
    </w:p>
    <w:p>
      <w:pPr>
        <w:rPr>
          <w:sz w:val="24"/>
          <w:u w:val="single"/>
        </w:rPr>
      </w:pPr>
    </w:p>
    <w:p>
      <w:pPr>
        <w:jc w:val="center"/>
        <w:rPr>
          <w:sz w:val="24"/>
          <w:u w:val="single"/>
        </w:rPr>
      </w:pPr>
    </w:p>
    <w:p>
      <w:pPr>
        <w:ind w:firstLine="2400" w:firstLineChars="1000"/>
        <w:rPr>
          <w:rFonts w:ascii="Times New Roman" w:hAnsi="Times New Roman" w:cs="Times New Roman"/>
          <w:sz w:val="24"/>
        </w:rPr>
      </w:pPr>
      <w:r>
        <w:rPr>
          <w:rFonts w:ascii="Times New Roman" w:cs="Times New Roman"/>
          <w:sz w:val="24"/>
        </w:rPr>
        <w:t>填表时间：</w:t>
      </w:r>
      <w:r>
        <w:rPr>
          <w:rFonts w:ascii="Times New Roman" w:hAnsi="Times New Roman" w:cs="Times New Roman"/>
          <w:sz w:val="24"/>
        </w:rPr>
        <w:t xml:space="preserve">      2022   </w:t>
      </w:r>
      <w:r>
        <w:rPr>
          <w:rFonts w:ascii="Times New Roman" w:cs="Times New Roman"/>
          <w:sz w:val="24"/>
        </w:rPr>
        <w:t>年</w:t>
      </w:r>
      <w:r>
        <w:rPr>
          <w:rFonts w:ascii="Times New Roman" w:hAnsi="Times New Roman" w:cs="Times New Roman"/>
          <w:sz w:val="24"/>
        </w:rPr>
        <w:t xml:space="preserve">  2  </w:t>
      </w:r>
      <w:r>
        <w:rPr>
          <w:rFonts w:ascii="Times New Roman" w:cs="Times New Roman"/>
          <w:sz w:val="24"/>
        </w:rPr>
        <w:t>月</w:t>
      </w:r>
      <w:r>
        <w:rPr>
          <w:rFonts w:ascii="Times New Roman" w:hAnsi="Times New Roman" w:cs="Times New Roman"/>
          <w:sz w:val="24"/>
        </w:rPr>
        <w:t xml:space="preserve">  </w:t>
      </w:r>
      <w:r>
        <w:rPr>
          <w:rFonts w:hint="eastAsia" w:ascii="Times New Roman" w:hAnsi="Times New Roman" w:cs="Times New Roman"/>
          <w:sz w:val="24"/>
        </w:rPr>
        <w:t>28</w:t>
      </w:r>
      <w:r>
        <w:rPr>
          <w:rFonts w:ascii="Times New Roman" w:hAnsi="Times New Roman" w:cs="Times New Roman"/>
          <w:sz w:val="24"/>
        </w:rPr>
        <w:t xml:space="preserve">  </w:t>
      </w:r>
      <w:r>
        <w:rPr>
          <w:rFonts w:ascii="Times New Roman" w:cs="Times New Roman"/>
          <w:sz w:val="24"/>
        </w:rPr>
        <w:t>日</w:t>
      </w:r>
    </w:p>
    <w:p>
      <w:pPr>
        <w:ind w:firstLine="2400" w:firstLineChars="1000"/>
        <w:rPr>
          <w:sz w:val="24"/>
        </w:rPr>
      </w:pPr>
    </w:p>
    <w:p>
      <w:pPr>
        <w:ind w:firstLine="2400" w:firstLineChars="1000"/>
        <w:rPr>
          <w:sz w:val="24"/>
        </w:rPr>
      </w:pPr>
    </w:p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海南师范大学印制</w:t>
      </w:r>
    </w:p>
    <w:p>
      <w:pPr>
        <w:ind w:firstLine="2400" w:firstLineChars="1000"/>
        <w:rPr>
          <w:sz w:val="24"/>
        </w:rPr>
      </w:pPr>
    </w:p>
    <w:p>
      <w:pPr>
        <w:jc w:val="center"/>
        <w:rPr>
          <w:sz w:val="32"/>
        </w:rPr>
      </w:pPr>
    </w:p>
    <w:p>
      <w:pPr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填表说明</w:t>
      </w:r>
    </w:p>
    <w:p>
      <w:pPr>
        <w:jc w:val="center"/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本表供本校专业技术人员评审实验系列专业技术资格时使用。１—10页由被评审者填写，第4页中思想品德鉴定和师德师风表现由所在单位填写并盖章，第6页“学院审核情况”由学院填写审核意见。11—12页由基层评审工作委员会或职称办填写。填写内容应经人事部门审核认可，编号由人事（职改）部门统一编制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2.年月日一律用公历阿拉伯数字填字。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3.“相片”一律用近期一寸正面半身免冠照。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4.“毕业学校”填毕业学校当时的全称。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5.晋升形式：正常晋升或转评。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6.申报资格名称：实验师、高级实验师。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7.聘任年限应足年，按“5年6个月”格式填写，一年按12个月计算，如2017年3月起聘，到2018年12月，任职年限就只有一年10个月，不到二年。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8.学年及学期表达：如2017-2018(一)、2015-2016(二)。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9.如填写表格内容较多，可自行增加行，没有内容的表格可删减行，但至少保留表头及一行，不可全删除。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widowControl/>
        <w:jc w:val="left"/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基本情况</w:t>
      </w:r>
    </w:p>
    <w:tbl>
      <w:tblPr>
        <w:tblStyle w:val="5"/>
        <w:tblW w:w="9781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4"/>
        <w:gridCol w:w="565"/>
        <w:gridCol w:w="425"/>
        <w:gridCol w:w="141"/>
        <w:gridCol w:w="142"/>
        <w:gridCol w:w="142"/>
        <w:gridCol w:w="567"/>
        <w:gridCol w:w="283"/>
        <w:gridCol w:w="284"/>
        <w:gridCol w:w="708"/>
        <w:gridCol w:w="289"/>
        <w:gridCol w:w="850"/>
        <w:gridCol w:w="16"/>
        <w:gridCol w:w="263"/>
        <w:gridCol w:w="709"/>
        <w:gridCol w:w="430"/>
        <w:gridCol w:w="276"/>
        <w:gridCol w:w="574"/>
        <w:gridCol w:w="142"/>
        <w:gridCol w:w="141"/>
        <w:gridCol w:w="426"/>
        <w:gridCol w:w="285"/>
        <w:gridCol w:w="84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415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牛燕燕</w:t>
            </w:r>
          </w:p>
        </w:tc>
        <w:tc>
          <w:tcPr>
            <w:tcW w:w="56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性别</w:t>
            </w:r>
          </w:p>
        </w:tc>
        <w:tc>
          <w:tcPr>
            <w:tcW w:w="56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女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出生年月</w:t>
            </w:r>
          </w:p>
        </w:tc>
        <w:tc>
          <w:tcPr>
            <w:tcW w:w="1418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1986</w:t>
            </w:r>
            <w:r>
              <w:rPr>
                <w:rFonts w:ascii="Times New Roman" w:hAnsi="宋体" w:cs="Times New Roman"/>
                <w:color w:val="000000"/>
                <w:kern w:val="0"/>
                <w:szCs w:val="21"/>
              </w:rPr>
              <w:t>年</w:t>
            </w: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11</w:t>
            </w:r>
            <w:r>
              <w:rPr>
                <w:rFonts w:ascii="Times New Roman" w:hAnsi="宋体" w:cs="Times New Roman"/>
                <w:color w:val="000000"/>
                <w:kern w:val="0"/>
                <w:szCs w:val="21"/>
              </w:rPr>
              <w:t>月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政治</w:t>
            </w:r>
          </w:p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面貌</w:t>
            </w:r>
          </w:p>
        </w:tc>
        <w:tc>
          <w:tcPr>
            <w:tcW w:w="1280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群众</w:t>
            </w:r>
          </w:p>
        </w:tc>
        <w:tc>
          <w:tcPr>
            <w:tcW w:w="1843" w:type="dxa"/>
            <w:gridSpan w:val="5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drawing>
                <wp:inline distT="0" distB="0" distL="0" distR="0">
                  <wp:extent cx="1047750" cy="1315720"/>
                  <wp:effectExtent l="19050" t="0" r="0" b="0"/>
                  <wp:docPr id="1" name="图片 1" descr="I:\备份第一次\4 PHOTO\4 生活照\证件扫描\一寸照片电子版\证件照2021.11\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:\备份第一次\4 PHOTO\4 生活照\证件扫描\一寸照片电子版\证件照2021.11\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b="123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7750" cy="1315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1274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教师资格证种类及学科</w:t>
            </w:r>
          </w:p>
        </w:tc>
        <w:tc>
          <w:tcPr>
            <w:tcW w:w="2265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高等学校教师资格</w:t>
            </w:r>
          </w:p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化学</w:t>
            </w:r>
          </w:p>
        </w:tc>
        <w:tc>
          <w:tcPr>
            <w:tcW w:w="99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身份证</w:t>
            </w:r>
          </w:p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号码</w:t>
            </w:r>
          </w:p>
        </w:tc>
        <w:tc>
          <w:tcPr>
            <w:tcW w:w="3407" w:type="dxa"/>
            <w:gridSpan w:val="8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340207198611262422</w:t>
            </w:r>
          </w:p>
        </w:tc>
        <w:tc>
          <w:tcPr>
            <w:tcW w:w="1843" w:type="dxa"/>
            <w:gridSpan w:val="5"/>
            <w:vMerge w:val="continue"/>
            <w:tcBorders>
              <w:top w:val="single" w:color="000000" w:sz="4" w:space="0"/>
              <w:left w:val="nil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最高学历</w:t>
            </w:r>
          </w:p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毕业院校</w:t>
            </w:r>
          </w:p>
        </w:tc>
        <w:tc>
          <w:tcPr>
            <w:tcW w:w="1415" w:type="dxa"/>
            <w:gridSpan w:val="5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海南师范</w:t>
            </w:r>
          </w:p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大学</w:t>
            </w: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学历</w:t>
            </w:r>
          </w:p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学位</w:t>
            </w:r>
          </w:p>
        </w:tc>
        <w:tc>
          <w:tcPr>
            <w:tcW w:w="99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研究生博士</w:t>
            </w:r>
          </w:p>
        </w:tc>
        <w:tc>
          <w:tcPr>
            <w:tcW w:w="1155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所学专业</w:t>
            </w:r>
          </w:p>
        </w:tc>
        <w:tc>
          <w:tcPr>
            <w:tcW w:w="2252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化学</w:t>
            </w:r>
          </w:p>
        </w:tc>
        <w:tc>
          <w:tcPr>
            <w:tcW w:w="1843" w:type="dxa"/>
            <w:gridSpan w:val="5"/>
            <w:vMerge w:val="continue"/>
            <w:tcBorders>
              <w:top w:val="single" w:color="000000" w:sz="4" w:space="0"/>
              <w:left w:val="nil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现工作单位</w:t>
            </w:r>
          </w:p>
        </w:tc>
        <w:tc>
          <w:tcPr>
            <w:tcW w:w="1415" w:type="dxa"/>
            <w:gridSpan w:val="5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化学与化工学院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参加工作时间</w:t>
            </w:r>
          </w:p>
        </w:tc>
        <w:tc>
          <w:tcPr>
            <w:tcW w:w="9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2011年7月</w:t>
            </w:r>
          </w:p>
        </w:tc>
        <w:tc>
          <w:tcPr>
            <w:tcW w:w="1155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任教学科</w:t>
            </w:r>
          </w:p>
        </w:tc>
        <w:tc>
          <w:tcPr>
            <w:tcW w:w="2535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化学</w:t>
            </w:r>
          </w:p>
        </w:tc>
        <w:tc>
          <w:tcPr>
            <w:tcW w:w="71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晋升形式</w:t>
            </w:r>
          </w:p>
        </w:tc>
        <w:tc>
          <w:tcPr>
            <w:tcW w:w="8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正常</w:t>
            </w:r>
          </w:p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晋升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2264" w:type="dxa"/>
            <w:gridSpan w:val="3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取得现专业技术资格及时间</w:t>
            </w:r>
          </w:p>
        </w:tc>
        <w:tc>
          <w:tcPr>
            <w:tcW w:w="2267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实验师</w:t>
            </w:r>
          </w:p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2013年8月31日</w:t>
            </w:r>
          </w:p>
        </w:tc>
        <w:tc>
          <w:tcPr>
            <w:tcW w:w="1155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申请学科组名称</w:t>
            </w:r>
          </w:p>
        </w:tc>
        <w:tc>
          <w:tcPr>
            <w:tcW w:w="2535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2"/>
              <w:widowControl/>
              <w:numPr>
                <w:ilvl w:val="0"/>
                <w:numId w:val="1"/>
              </w:numPr>
              <w:ind w:firstLineChars="0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实验技术组</w:t>
            </w:r>
          </w:p>
        </w:tc>
        <w:tc>
          <w:tcPr>
            <w:tcW w:w="71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外语</w:t>
            </w:r>
          </w:p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成绩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免试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22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现任专业技术职务聘任时间及聘任单位</w:t>
            </w:r>
          </w:p>
        </w:tc>
        <w:tc>
          <w:tcPr>
            <w:tcW w:w="2267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2013年8月31日</w:t>
            </w:r>
          </w:p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化学与化工学院</w:t>
            </w:r>
          </w:p>
        </w:tc>
        <w:tc>
          <w:tcPr>
            <w:tcW w:w="1155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聘任年限</w:t>
            </w:r>
          </w:p>
        </w:tc>
        <w:tc>
          <w:tcPr>
            <w:tcW w:w="1678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7年4个月</w:t>
            </w:r>
          </w:p>
        </w:tc>
        <w:tc>
          <w:tcPr>
            <w:tcW w:w="857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职业资格证书</w:t>
            </w:r>
          </w:p>
        </w:tc>
        <w:tc>
          <w:tcPr>
            <w:tcW w:w="1560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201303020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22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申报专业</w:t>
            </w:r>
          </w:p>
        </w:tc>
        <w:tc>
          <w:tcPr>
            <w:tcW w:w="3422" w:type="dxa"/>
            <w:gridSpan w:val="10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化学</w:t>
            </w:r>
          </w:p>
        </w:tc>
        <w:tc>
          <w:tcPr>
            <w:tcW w:w="1678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申报资格名称</w:t>
            </w:r>
          </w:p>
        </w:tc>
        <w:tc>
          <w:tcPr>
            <w:tcW w:w="2417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高级实验师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22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任现职以来获得省级以上荣誉情况</w:t>
            </w:r>
          </w:p>
        </w:tc>
        <w:tc>
          <w:tcPr>
            <w:tcW w:w="7517" w:type="dxa"/>
            <w:gridSpan w:val="20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2264" w:type="dxa"/>
            <w:gridSpan w:val="3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破格申请条件</w:t>
            </w:r>
          </w:p>
          <w:p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(正常及转评不填)</w:t>
            </w:r>
          </w:p>
        </w:tc>
        <w:tc>
          <w:tcPr>
            <w:tcW w:w="7517" w:type="dxa"/>
            <w:gridSpan w:val="20"/>
            <w:tcBorders>
              <w:top w:val="single" w:color="auto" w:sz="4" w:space="0"/>
              <w:left w:val="nil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符合条件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9781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学习培训经历</w:t>
            </w:r>
          </w:p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（包括参加学历学位教育、继续教育、培训、国内外进修等）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起止时间</w:t>
            </w:r>
          </w:p>
        </w:tc>
        <w:tc>
          <w:tcPr>
            <w:tcW w:w="70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学习形式</w:t>
            </w:r>
          </w:p>
        </w:tc>
        <w:tc>
          <w:tcPr>
            <w:tcW w:w="2273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学习单位名称</w:t>
            </w:r>
          </w:p>
        </w:tc>
        <w:tc>
          <w:tcPr>
            <w:tcW w:w="226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学习院系及专业</w:t>
            </w: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毕(结肄)业</w:t>
            </w:r>
          </w:p>
        </w:tc>
        <w:tc>
          <w:tcPr>
            <w:tcW w:w="70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国</w:t>
            </w:r>
          </w:p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内外</w:t>
            </w:r>
          </w:p>
        </w:tc>
        <w:tc>
          <w:tcPr>
            <w:tcW w:w="113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证明人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2004.09.-2008.06.</w:t>
            </w:r>
          </w:p>
        </w:tc>
        <w:tc>
          <w:tcPr>
            <w:tcW w:w="70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全日制</w:t>
            </w:r>
          </w:p>
        </w:tc>
        <w:tc>
          <w:tcPr>
            <w:tcW w:w="2273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太原理工大学</w:t>
            </w:r>
          </w:p>
        </w:tc>
        <w:tc>
          <w:tcPr>
            <w:tcW w:w="226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化学与化工学院</w:t>
            </w: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生物工程</w:t>
            </w: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毕业</w:t>
            </w:r>
          </w:p>
        </w:tc>
        <w:tc>
          <w:tcPr>
            <w:tcW w:w="70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国内</w:t>
            </w:r>
          </w:p>
        </w:tc>
        <w:tc>
          <w:tcPr>
            <w:tcW w:w="113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常宏宏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2008.09.-2011.06.</w:t>
            </w:r>
          </w:p>
        </w:tc>
        <w:tc>
          <w:tcPr>
            <w:tcW w:w="70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全日制</w:t>
            </w:r>
          </w:p>
        </w:tc>
        <w:tc>
          <w:tcPr>
            <w:tcW w:w="2273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太原理工大学</w:t>
            </w:r>
          </w:p>
        </w:tc>
        <w:tc>
          <w:tcPr>
            <w:tcW w:w="226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化学与化工学院</w:t>
            </w: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化学工艺</w:t>
            </w: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毕业</w:t>
            </w:r>
          </w:p>
        </w:tc>
        <w:tc>
          <w:tcPr>
            <w:tcW w:w="70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国内</w:t>
            </w:r>
          </w:p>
        </w:tc>
        <w:tc>
          <w:tcPr>
            <w:tcW w:w="113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李忠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2017.09.-</w:t>
            </w:r>
            <w:r>
              <w:rPr>
                <w:rFonts w:hint="eastAsia" w:ascii="Times New Roman" w:hAnsi="Times New Roman"/>
                <w:color w:val="000000"/>
                <w:kern w:val="0"/>
                <w:szCs w:val="21"/>
              </w:rPr>
              <w:t>2020.06.</w:t>
            </w:r>
          </w:p>
        </w:tc>
        <w:tc>
          <w:tcPr>
            <w:tcW w:w="70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全日制</w:t>
            </w:r>
          </w:p>
        </w:tc>
        <w:tc>
          <w:tcPr>
            <w:tcW w:w="2273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海南师范大学</w:t>
            </w:r>
          </w:p>
        </w:tc>
        <w:tc>
          <w:tcPr>
            <w:tcW w:w="226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化学与化工学院</w:t>
            </w:r>
          </w:p>
          <w:p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化学</w:t>
            </w: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Cs w:val="21"/>
              </w:rPr>
              <w:t>毕业</w:t>
            </w:r>
          </w:p>
        </w:tc>
        <w:tc>
          <w:tcPr>
            <w:tcW w:w="70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国内</w:t>
            </w:r>
          </w:p>
        </w:tc>
        <w:tc>
          <w:tcPr>
            <w:tcW w:w="113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孙伟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2012.12.10.-2012.12.12.</w:t>
            </w:r>
          </w:p>
        </w:tc>
        <w:tc>
          <w:tcPr>
            <w:tcW w:w="70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培训</w:t>
            </w:r>
          </w:p>
        </w:tc>
        <w:tc>
          <w:tcPr>
            <w:tcW w:w="2273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Theme="minorEastAsia"/>
                <w:color w:val="000000"/>
                <w:kern w:val="0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中国计量科学研究院培训中心</w:t>
            </w:r>
            <w:r>
              <w:rPr>
                <w:rFonts w:hint="eastAsia" w:ascii="Times New Roman" w:hAnsi="Times New Roman"/>
                <w:color w:val="000000"/>
                <w:kern w:val="0"/>
                <w:szCs w:val="21"/>
                <w:lang w:eastAsia="zh-CN"/>
              </w:rPr>
              <w:t>（主办）</w:t>
            </w:r>
          </w:p>
        </w:tc>
        <w:tc>
          <w:tcPr>
            <w:tcW w:w="226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“化学领域实验室内审员”培训</w:t>
            </w: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国内</w:t>
            </w:r>
          </w:p>
        </w:tc>
        <w:tc>
          <w:tcPr>
            <w:tcW w:w="113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梁振江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2012.12.13.-2012.12.14.</w:t>
            </w:r>
          </w:p>
        </w:tc>
        <w:tc>
          <w:tcPr>
            <w:tcW w:w="70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培训</w:t>
            </w:r>
          </w:p>
        </w:tc>
        <w:tc>
          <w:tcPr>
            <w:tcW w:w="2273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中国计量科学研究院培训中心</w:t>
            </w:r>
            <w:r>
              <w:rPr>
                <w:rFonts w:hint="eastAsia" w:ascii="Times New Roman" w:hAnsi="Times New Roman"/>
                <w:color w:val="000000"/>
                <w:kern w:val="0"/>
                <w:szCs w:val="21"/>
                <w:lang w:eastAsia="zh-CN"/>
              </w:rPr>
              <w:t>（主办）</w:t>
            </w:r>
          </w:p>
        </w:tc>
        <w:tc>
          <w:tcPr>
            <w:tcW w:w="226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“实验室质量控制人员”培训</w:t>
            </w: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国内</w:t>
            </w:r>
          </w:p>
        </w:tc>
        <w:tc>
          <w:tcPr>
            <w:tcW w:w="113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梁振江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20</w:t>
            </w:r>
            <w:r>
              <w:rPr>
                <w:rFonts w:hint="eastAsia" w:ascii="Times New Roman" w:hAnsi="Times New Roman"/>
                <w:color w:val="000000"/>
                <w:kern w:val="0"/>
                <w:szCs w:val="21"/>
              </w:rPr>
              <w:t>20</w:t>
            </w: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.12.13.-20</w:t>
            </w:r>
            <w:r>
              <w:rPr>
                <w:rFonts w:hint="eastAsia" w:ascii="Times New Roman" w:hAnsi="Times New Roman"/>
                <w:color w:val="000000"/>
                <w:kern w:val="0"/>
                <w:szCs w:val="21"/>
              </w:rPr>
              <w:t>20</w:t>
            </w: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.12.14.</w:t>
            </w:r>
          </w:p>
        </w:tc>
        <w:tc>
          <w:tcPr>
            <w:tcW w:w="70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培训</w:t>
            </w:r>
          </w:p>
        </w:tc>
        <w:tc>
          <w:tcPr>
            <w:tcW w:w="2273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教育部科技发展中心</w:t>
            </w:r>
            <w:r>
              <w:rPr>
                <w:rFonts w:hint="eastAsia" w:ascii="Times New Roman" w:hAnsi="Times New Roman"/>
                <w:color w:val="000000"/>
                <w:kern w:val="0"/>
                <w:szCs w:val="21"/>
                <w:lang w:eastAsia="zh-CN"/>
              </w:rPr>
              <w:t>（主办）</w:t>
            </w:r>
          </w:p>
        </w:tc>
        <w:tc>
          <w:tcPr>
            <w:tcW w:w="226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高校检验检测机构负责人和内审员交流培训会</w:t>
            </w: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国内</w:t>
            </w:r>
          </w:p>
        </w:tc>
        <w:tc>
          <w:tcPr>
            <w:tcW w:w="113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陈光英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2273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2273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781" w:type="dxa"/>
            <w:gridSpan w:val="2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5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起  止  时  间</w:t>
            </w:r>
          </w:p>
        </w:tc>
        <w:tc>
          <w:tcPr>
            <w:tcW w:w="3265" w:type="dxa"/>
            <w:gridSpan w:val="8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      位</w:t>
            </w:r>
          </w:p>
        </w:tc>
        <w:tc>
          <w:tcPr>
            <w:tcW w:w="2410" w:type="dxa"/>
            <w:gridSpan w:val="7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从 事 何 专 业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技  术  工  作</w:t>
            </w:r>
          </w:p>
        </w:tc>
        <w:tc>
          <w:tcPr>
            <w:tcW w:w="1701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      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2405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2011年7月—至今</w:t>
            </w:r>
          </w:p>
        </w:tc>
        <w:tc>
          <w:tcPr>
            <w:tcW w:w="3265" w:type="dxa"/>
            <w:gridSpan w:val="8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海南师范大学</w:t>
            </w:r>
          </w:p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化学与化工学院</w:t>
            </w:r>
          </w:p>
        </w:tc>
        <w:tc>
          <w:tcPr>
            <w:tcW w:w="2410" w:type="dxa"/>
            <w:gridSpan w:val="7"/>
            <w:vAlign w:val="center"/>
          </w:tcPr>
          <w:p>
            <w:pPr>
              <w:jc w:val="center"/>
              <w:rPr>
                <w:rFonts w:ascii="Times New Roman"/>
                <w:szCs w:val="21"/>
              </w:rPr>
            </w:pPr>
            <w:r>
              <w:rPr>
                <w:rFonts w:hint="eastAsia" w:ascii="Times New Roman"/>
                <w:szCs w:val="21"/>
              </w:rPr>
              <w:t>分析测试中心</w:t>
            </w:r>
          </w:p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/>
                <w:szCs w:val="21"/>
              </w:rPr>
              <w:t>实验员</w:t>
            </w:r>
          </w:p>
        </w:tc>
        <w:tc>
          <w:tcPr>
            <w:tcW w:w="1701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/>
                <w:szCs w:val="21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2405" w:type="dxa"/>
            <w:gridSpan w:val="4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年   月—   年   月</w:t>
            </w:r>
          </w:p>
        </w:tc>
        <w:tc>
          <w:tcPr>
            <w:tcW w:w="3265" w:type="dxa"/>
            <w:gridSpan w:val="8"/>
          </w:tcPr>
          <w:p>
            <w:pPr>
              <w:rPr>
                <w:sz w:val="18"/>
              </w:rPr>
            </w:pPr>
          </w:p>
        </w:tc>
        <w:tc>
          <w:tcPr>
            <w:tcW w:w="2410" w:type="dxa"/>
            <w:gridSpan w:val="7"/>
          </w:tcPr>
          <w:p>
            <w:pPr>
              <w:rPr>
                <w:sz w:val="18"/>
              </w:rPr>
            </w:pPr>
          </w:p>
        </w:tc>
        <w:tc>
          <w:tcPr>
            <w:tcW w:w="1701" w:type="dxa"/>
            <w:gridSpan w:val="4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2405" w:type="dxa"/>
            <w:gridSpan w:val="4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Cs w:val="21"/>
              </w:rPr>
              <w:t xml:space="preserve"> 年   月—   年   月</w:t>
            </w:r>
          </w:p>
        </w:tc>
        <w:tc>
          <w:tcPr>
            <w:tcW w:w="3265" w:type="dxa"/>
            <w:gridSpan w:val="8"/>
          </w:tcPr>
          <w:p>
            <w:pPr>
              <w:rPr>
                <w:sz w:val="18"/>
              </w:rPr>
            </w:pPr>
          </w:p>
        </w:tc>
        <w:tc>
          <w:tcPr>
            <w:tcW w:w="2410" w:type="dxa"/>
            <w:gridSpan w:val="7"/>
          </w:tcPr>
          <w:p>
            <w:pPr>
              <w:rPr>
                <w:sz w:val="18"/>
              </w:rPr>
            </w:pPr>
          </w:p>
        </w:tc>
        <w:tc>
          <w:tcPr>
            <w:tcW w:w="1701" w:type="dxa"/>
            <w:gridSpan w:val="4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2405" w:type="dxa"/>
            <w:gridSpan w:val="4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Cs w:val="21"/>
              </w:rPr>
              <w:t xml:space="preserve"> 年   月—   年   月</w:t>
            </w:r>
          </w:p>
        </w:tc>
        <w:tc>
          <w:tcPr>
            <w:tcW w:w="3265" w:type="dxa"/>
            <w:gridSpan w:val="8"/>
          </w:tcPr>
          <w:p>
            <w:pPr>
              <w:rPr>
                <w:sz w:val="18"/>
              </w:rPr>
            </w:pPr>
          </w:p>
        </w:tc>
        <w:tc>
          <w:tcPr>
            <w:tcW w:w="2410" w:type="dxa"/>
            <w:gridSpan w:val="7"/>
          </w:tcPr>
          <w:p>
            <w:pPr>
              <w:rPr>
                <w:sz w:val="18"/>
              </w:rPr>
            </w:pPr>
          </w:p>
        </w:tc>
        <w:tc>
          <w:tcPr>
            <w:tcW w:w="1701" w:type="dxa"/>
            <w:gridSpan w:val="4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2405" w:type="dxa"/>
            <w:gridSpan w:val="4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年   月—   年   月</w:t>
            </w:r>
          </w:p>
        </w:tc>
        <w:tc>
          <w:tcPr>
            <w:tcW w:w="3265" w:type="dxa"/>
            <w:gridSpan w:val="8"/>
          </w:tcPr>
          <w:p>
            <w:pPr>
              <w:rPr>
                <w:sz w:val="18"/>
              </w:rPr>
            </w:pPr>
          </w:p>
        </w:tc>
        <w:tc>
          <w:tcPr>
            <w:tcW w:w="2410" w:type="dxa"/>
            <w:gridSpan w:val="7"/>
          </w:tcPr>
          <w:p>
            <w:pPr>
              <w:rPr>
                <w:sz w:val="18"/>
              </w:rPr>
            </w:pPr>
          </w:p>
        </w:tc>
        <w:tc>
          <w:tcPr>
            <w:tcW w:w="1701" w:type="dxa"/>
            <w:gridSpan w:val="4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2405" w:type="dxa"/>
            <w:gridSpan w:val="4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Cs w:val="21"/>
              </w:rPr>
              <w:t xml:space="preserve"> 年   月—   年   月</w:t>
            </w:r>
          </w:p>
        </w:tc>
        <w:tc>
          <w:tcPr>
            <w:tcW w:w="3265" w:type="dxa"/>
            <w:gridSpan w:val="8"/>
          </w:tcPr>
          <w:p>
            <w:pPr>
              <w:rPr>
                <w:sz w:val="18"/>
              </w:rPr>
            </w:pPr>
          </w:p>
        </w:tc>
        <w:tc>
          <w:tcPr>
            <w:tcW w:w="2410" w:type="dxa"/>
            <w:gridSpan w:val="7"/>
          </w:tcPr>
          <w:p>
            <w:pPr>
              <w:rPr>
                <w:sz w:val="18"/>
              </w:rPr>
            </w:pPr>
          </w:p>
        </w:tc>
        <w:tc>
          <w:tcPr>
            <w:tcW w:w="1701" w:type="dxa"/>
            <w:gridSpan w:val="4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2405" w:type="dxa"/>
            <w:gridSpan w:val="4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Cs w:val="21"/>
              </w:rPr>
              <w:t xml:space="preserve"> 年   月—   年   月</w:t>
            </w:r>
          </w:p>
        </w:tc>
        <w:tc>
          <w:tcPr>
            <w:tcW w:w="3265" w:type="dxa"/>
            <w:gridSpan w:val="8"/>
          </w:tcPr>
          <w:p>
            <w:pPr>
              <w:rPr>
                <w:sz w:val="18"/>
              </w:rPr>
            </w:pPr>
          </w:p>
        </w:tc>
        <w:tc>
          <w:tcPr>
            <w:tcW w:w="2410" w:type="dxa"/>
            <w:gridSpan w:val="7"/>
          </w:tcPr>
          <w:p>
            <w:pPr>
              <w:rPr>
                <w:sz w:val="18"/>
              </w:rPr>
            </w:pPr>
          </w:p>
        </w:tc>
        <w:tc>
          <w:tcPr>
            <w:tcW w:w="1701" w:type="dxa"/>
            <w:gridSpan w:val="4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2405" w:type="dxa"/>
            <w:gridSpan w:val="4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年   月—   年   月</w:t>
            </w:r>
          </w:p>
        </w:tc>
        <w:tc>
          <w:tcPr>
            <w:tcW w:w="3265" w:type="dxa"/>
            <w:gridSpan w:val="8"/>
          </w:tcPr>
          <w:p>
            <w:pPr>
              <w:rPr>
                <w:sz w:val="18"/>
              </w:rPr>
            </w:pPr>
          </w:p>
        </w:tc>
        <w:tc>
          <w:tcPr>
            <w:tcW w:w="2410" w:type="dxa"/>
            <w:gridSpan w:val="7"/>
          </w:tcPr>
          <w:p>
            <w:pPr>
              <w:rPr>
                <w:sz w:val="18"/>
              </w:rPr>
            </w:pPr>
          </w:p>
        </w:tc>
        <w:tc>
          <w:tcPr>
            <w:tcW w:w="1701" w:type="dxa"/>
            <w:gridSpan w:val="4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2405" w:type="dxa"/>
            <w:gridSpan w:val="4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Cs w:val="21"/>
              </w:rPr>
              <w:t xml:space="preserve"> 年   月—   年   月</w:t>
            </w:r>
          </w:p>
        </w:tc>
        <w:tc>
          <w:tcPr>
            <w:tcW w:w="3265" w:type="dxa"/>
            <w:gridSpan w:val="8"/>
          </w:tcPr>
          <w:p>
            <w:pPr>
              <w:rPr>
                <w:sz w:val="18"/>
              </w:rPr>
            </w:pPr>
          </w:p>
        </w:tc>
        <w:tc>
          <w:tcPr>
            <w:tcW w:w="2410" w:type="dxa"/>
            <w:gridSpan w:val="7"/>
          </w:tcPr>
          <w:p>
            <w:pPr>
              <w:rPr>
                <w:sz w:val="18"/>
              </w:rPr>
            </w:pPr>
          </w:p>
        </w:tc>
        <w:tc>
          <w:tcPr>
            <w:tcW w:w="1701" w:type="dxa"/>
            <w:gridSpan w:val="4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2405" w:type="dxa"/>
            <w:gridSpan w:val="4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年   月—   年   月</w:t>
            </w:r>
          </w:p>
        </w:tc>
        <w:tc>
          <w:tcPr>
            <w:tcW w:w="3265" w:type="dxa"/>
            <w:gridSpan w:val="8"/>
          </w:tcPr>
          <w:p>
            <w:pPr>
              <w:rPr>
                <w:sz w:val="18"/>
              </w:rPr>
            </w:pPr>
          </w:p>
        </w:tc>
        <w:tc>
          <w:tcPr>
            <w:tcW w:w="2410" w:type="dxa"/>
            <w:gridSpan w:val="7"/>
          </w:tcPr>
          <w:p>
            <w:pPr>
              <w:rPr>
                <w:sz w:val="18"/>
              </w:rPr>
            </w:pPr>
          </w:p>
        </w:tc>
        <w:tc>
          <w:tcPr>
            <w:tcW w:w="1701" w:type="dxa"/>
            <w:gridSpan w:val="4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2405" w:type="dxa"/>
            <w:gridSpan w:val="4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年   月—   年   月</w:t>
            </w:r>
          </w:p>
        </w:tc>
        <w:tc>
          <w:tcPr>
            <w:tcW w:w="3265" w:type="dxa"/>
            <w:gridSpan w:val="8"/>
          </w:tcPr>
          <w:p>
            <w:pPr>
              <w:rPr>
                <w:sz w:val="18"/>
              </w:rPr>
            </w:pPr>
          </w:p>
        </w:tc>
        <w:tc>
          <w:tcPr>
            <w:tcW w:w="2410" w:type="dxa"/>
            <w:gridSpan w:val="7"/>
          </w:tcPr>
          <w:p>
            <w:pPr>
              <w:rPr>
                <w:sz w:val="18"/>
              </w:rPr>
            </w:pPr>
          </w:p>
        </w:tc>
        <w:tc>
          <w:tcPr>
            <w:tcW w:w="1701" w:type="dxa"/>
            <w:gridSpan w:val="4"/>
          </w:tcPr>
          <w:p>
            <w:pPr>
              <w:rPr>
                <w:sz w:val="18"/>
              </w:rPr>
            </w:pPr>
          </w:p>
        </w:tc>
      </w:tr>
    </w:tbl>
    <w:p/>
    <w:tbl>
      <w:tblPr>
        <w:tblStyle w:val="5"/>
        <w:tblW w:w="9781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1059"/>
        <w:gridCol w:w="631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7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基本条件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0" w:hRule="atLeast"/>
        </w:trPr>
        <w:tc>
          <w:tcPr>
            <w:tcW w:w="241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思想品德鉴定及</w:t>
            </w:r>
          </w:p>
          <w:p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师德师风表现</w:t>
            </w:r>
          </w:p>
        </w:tc>
        <w:tc>
          <w:tcPr>
            <w:tcW w:w="7371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ind w:left="315" w:leftChars="150" w:right="315" w:rightChars="150" w:firstLine="420" w:firstLineChars="200"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牛燕燕同志热爱社会主义祖国，拥护中国共产党的领导，遵守法律法规，热爱教育事业，贯彻国家的教育方针和政策；团结协作，积极参加集体活动和学科建设，在思想上积极要求进步，具有较高的政治思想觉悟和良好的师德修养，以学生为本，教风端正，为人师表，具有良好的职业道德和敬业精神，工作兢兢业业，认真负责。</w:t>
            </w:r>
          </w:p>
          <w:p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>
            <w:pPr>
              <w:ind w:firstLine="1050" w:firstLineChars="500"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分党委书记签名（盖章）：                     年   月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任现职以来的考核结果(高级职称至少填五年）</w:t>
            </w:r>
          </w:p>
        </w:tc>
        <w:tc>
          <w:tcPr>
            <w:tcW w:w="7371" w:type="dxa"/>
            <w:gridSpan w:val="2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2014</w:t>
            </w:r>
            <w:r>
              <w:rPr>
                <w:rFonts w:ascii="Times New Roman" w:hAnsi="宋体"/>
                <w:color w:val="000000"/>
                <w:kern w:val="0"/>
                <w:szCs w:val="21"/>
              </w:rPr>
              <w:t>年称职，</w:t>
            </w: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2015</w:t>
            </w:r>
            <w:r>
              <w:rPr>
                <w:rFonts w:ascii="Times New Roman" w:hAnsi="宋体"/>
                <w:color w:val="000000"/>
                <w:kern w:val="0"/>
                <w:szCs w:val="21"/>
              </w:rPr>
              <w:t>年称职，</w:t>
            </w: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2016</w:t>
            </w:r>
            <w:r>
              <w:rPr>
                <w:rFonts w:ascii="Times New Roman" w:hAnsi="宋体"/>
                <w:color w:val="000000"/>
                <w:kern w:val="0"/>
                <w:szCs w:val="21"/>
              </w:rPr>
              <w:t>年称职，</w:t>
            </w: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2017</w:t>
            </w:r>
            <w:r>
              <w:rPr>
                <w:rFonts w:ascii="Times New Roman" w:hAnsi="宋体"/>
                <w:color w:val="000000"/>
                <w:kern w:val="0"/>
                <w:szCs w:val="21"/>
              </w:rPr>
              <w:t>年称职，</w:t>
            </w: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2018</w:t>
            </w:r>
            <w:r>
              <w:rPr>
                <w:rFonts w:ascii="Times New Roman" w:hAnsi="宋体"/>
                <w:color w:val="000000"/>
                <w:kern w:val="0"/>
                <w:szCs w:val="21"/>
              </w:rPr>
              <w:t>年称职</w:t>
            </w:r>
            <w:r>
              <w:rPr>
                <w:rFonts w:hint="eastAsia" w:ascii="Times New Roman" w:hAnsi="宋体"/>
                <w:color w:val="000000"/>
                <w:kern w:val="0"/>
                <w:szCs w:val="21"/>
              </w:rPr>
              <w:t>，2019年称职，2020年优秀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241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是否存在延迟申报情况</w:t>
            </w:r>
          </w:p>
        </w:tc>
        <w:tc>
          <w:tcPr>
            <w:tcW w:w="10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color w:val="000000"/>
                <w:kern w:val="0"/>
                <w:szCs w:val="21"/>
              </w:rPr>
              <w:t>■否</w:t>
            </w:r>
          </w:p>
        </w:tc>
        <w:tc>
          <w:tcPr>
            <w:tcW w:w="6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color w:val="000000"/>
                <w:kern w:val="0"/>
                <w:szCs w:val="21"/>
              </w:rPr>
              <w:t>□是，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因                          延迟申请   年。</w:t>
            </w:r>
          </w:p>
        </w:tc>
      </w:tr>
    </w:tbl>
    <w:p>
      <w:pPr>
        <w:widowControl/>
        <w:jc w:val="left"/>
      </w:pPr>
    </w:p>
    <w:tbl>
      <w:tblPr>
        <w:tblStyle w:val="6"/>
        <w:tblW w:w="5000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5"/>
        <w:gridCol w:w="9009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000" w:type="pct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业务条件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29" w:hRule="atLeast"/>
        </w:trPr>
        <w:tc>
          <w:tcPr>
            <w:tcW w:w="429" w:type="pct"/>
            <w:tcBorders>
              <w:top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业务条件（1）情况</w:t>
            </w:r>
          </w:p>
        </w:tc>
        <w:tc>
          <w:tcPr>
            <w:tcW w:w="4571" w:type="pct"/>
            <w:tcBorders>
              <w:top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69" w:beforeLines="150" w:line="360" w:lineRule="auto"/>
              <w:ind w:left="218" w:leftChars="104" w:right="172" w:rightChars="82" w:firstLine="422" w:firstLineChars="200"/>
              <w:textAlignment w:val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1"/>
                <w:szCs w:val="21"/>
                <w:lang w:eastAsia="zh-CN"/>
              </w:rPr>
              <w:t>具有本专业系统而扎实的理论基础，熟悉本专业国内外的实验技术现状和发展</w:t>
            </w:r>
            <w:r>
              <w:rPr>
                <w:rFonts w:hint="eastAsia" w:ascii="Times New Roman" w:hAnsi="Times New Roman" w:cs="Times New Roman"/>
                <w:b/>
                <w:bCs/>
                <w:sz w:val="21"/>
                <w:szCs w:val="21"/>
                <w:highlight w:val="none"/>
                <w:lang w:eastAsia="zh-CN"/>
              </w:rPr>
              <w:t>趋势。</w:t>
            </w:r>
            <w:r>
              <w:rPr>
                <w:rFonts w:hint="eastAsia" w:ascii="Times New Roman" w:hAnsi="Times New Roman" w:cs="Times New Roman"/>
                <w:sz w:val="21"/>
                <w:szCs w:val="21"/>
                <w:highlight w:val="none"/>
                <w:lang w:eastAsia="zh-CN"/>
              </w:rPr>
              <w:t>高效液相色谱具有出色的分离纯化性能，质谱技术具有准确性和灵敏度高的优势，因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此广泛应用于化学、生物、医药、环境、材料等诸多领域，在科研和生产中发挥巨大的作用。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本人自2011年7月入职化学与化工学院分析测试中心以来，主要负责高效液相色谱（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Water 2695，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价值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75万元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）</w:t>
            </w:r>
            <w:r>
              <w:rPr>
                <w:rFonts w:hint="eastAsia" w:ascii="Times New Roman" w:hAnsi="Times New Roman" w:cs="Times New Roman"/>
                <w:sz w:val="21"/>
                <w:szCs w:val="21"/>
              </w:rPr>
              <w:t>、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高分辨液质联用</w:t>
            </w:r>
            <w:r>
              <w:rPr>
                <w:rFonts w:hint="eastAsia" w:ascii="Times New Roman" w:hAnsi="Times New Roman" w:cs="Times New Roman"/>
                <w:sz w:val="21"/>
                <w:szCs w:val="21"/>
              </w:rPr>
              <w:t>和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低分辨液质联用（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分别为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ThermoFisher和Bruker HCT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，价值分别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390万元和240万元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）的</w:t>
            </w:r>
            <w:r>
              <w:rPr>
                <w:rFonts w:hint="eastAsia" w:ascii="Times New Roman" w:hAnsi="Times New Roman" w:cs="Times New Roman"/>
                <w:sz w:val="21"/>
                <w:szCs w:val="21"/>
              </w:rPr>
              <w:t>相关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管理工作。参加了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多次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设备的安装培训和应用培训，</w:t>
            </w:r>
            <w:r>
              <w:rPr>
                <w:rFonts w:cs="Times New Roman" w:asciiTheme="minorEastAsia" w:hAnsiTheme="minorEastAsia"/>
                <w:b w:val="0"/>
                <w:bCs w:val="0"/>
                <w:sz w:val="21"/>
                <w:szCs w:val="21"/>
              </w:rPr>
              <w:t>掌握</w:t>
            </w:r>
            <w:r>
              <w:rPr>
                <w:rFonts w:hint="eastAsia" w:cs="Times New Roman" w:asciiTheme="minorEastAsia" w:hAnsiTheme="minorEastAsia"/>
                <w:b w:val="0"/>
                <w:bCs w:val="0"/>
                <w:sz w:val="21"/>
                <w:szCs w:val="21"/>
                <w:lang w:eastAsia="zh-CN"/>
              </w:rPr>
              <w:t>了</w:t>
            </w:r>
            <w:r>
              <w:rPr>
                <w:rFonts w:cs="Times New Roman" w:asciiTheme="minorEastAsia" w:hAnsiTheme="minorEastAsia"/>
                <w:b w:val="0"/>
                <w:bCs w:val="0"/>
                <w:sz w:val="21"/>
                <w:szCs w:val="21"/>
              </w:rPr>
              <w:t>基本的操作技能和高级应用方法</w:t>
            </w:r>
            <w:r>
              <w:rPr>
                <w:rFonts w:hint="eastAsia" w:cs="Times New Roman" w:asciiTheme="minorEastAsia" w:hAnsiTheme="minorEastAsia"/>
                <w:b w:val="0"/>
                <w:bCs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为日后的测试、故障诊断和排除，以及维护维修打下坚实的基础。期间还参加了由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Waters公司主办的液质联用技术的应用培训、液质质检测技术高级培训班、ThermoFisher公司主办的色谱质谱科研巡演交流会、样品前处理技术职业技能大会、科学仪器开放共享及实验室建设与管理论坛、谱学技术学术研讨会等多次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</w:rPr>
              <w:t>实验技术</w:t>
            </w:r>
            <w:r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  <w:t>培训和交流会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</w:rPr>
              <w:t>、</w:t>
            </w:r>
            <w:r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  <w:t>网络培训课程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</w:rPr>
              <w:t>等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。结合本人的科研方向和多年的实践经验，刻苦钻研、精益求精，熟练掌握液相色谱和质谱仪的基本原理、操作技巧和其他高级应用，能够快速诊断和排除设备出现的一般故障，保证多年来设备的不间断正常运行。</w:t>
            </w:r>
            <w:r>
              <w:rPr>
                <w:rFonts w:cs="Times New Roman" w:asciiTheme="minorEastAsia" w:hAnsiTheme="minorEastAsia"/>
                <w:sz w:val="21"/>
                <w:szCs w:val="21"/>
              </w:rPr>
              <w:t>先后参加过中国计量科学研究院培训中心</w:t>
            </w:r>
            <w:r>
              <w:rPr>
                <w:rFonts w:hint="eastAsia" w:cs="Times New Roman" w:asciiTheme="minorEastAsia" w:hAnsiTheme="minorEastAsia"/>
                <w:sz w:val="21"/>
                <w:szCs w:val="21"/>
              </w:rPr>
              <w:t>主办</w:t>
            </w:r>
            <w:r>
              <w:rPr>
                <w:rFonts w:cs="Times New Roman" w:asciiTheme="minorEastAsia" w:hAnsiTheme="minorEastAsia"/>
                <w:sz w:val="21"/>
                <w:szCs w:val="21"/>
              </w:rPr>
              <w:t>的“化学领域实验室内审员”和“实验室质量控制人员”</w:t>
            </w:r>
            <w:r>
              <w:rPr>
                <w:rFonts w:hint="eastAsia" w:cs="Times New Roman" w:asciiTheme="minorEastAsia" w:hAnsiTheme="minorEastAsia"/>
                <w:sz w:val="21"/>
                <w:szCs w:val="21"/>
              </w:rPr>
              <w:t>，</w:t>
            </w:r>
            <w:r>
              <w:rPr>
                <w:rFonts w:cs="Times New Roman" w:asciiTheme="minorEastAsia" w:hAnsiTheme="minorEastAsia"/>
                <w:sz w:val="21"/>
                <w:szCs w:val="21"/>
              </w:rPr>
              <w:t>教育部科技发展中心</w:t>
            </w:r>
            <w:r>
              <w:rPr>
                <w:rFonts w:hint="eastAsia" w:cs="Times New Roman" w:asciiTheme="minorEastAsia" w:hAnsiTheme="minorEastAsia"/>
                <w:sz w:val="21"/>
                <w:szCs w:val="21"/>
              </w:rPr>
              <w:t>主办</w:t>
            </w:r>
            <w:r>
              <w:rPr>
                <w:rFonts w:cs="Times New Roman" w:asciiTheme="minorEastAsia" w:hAnsiTheme="minorEastAsia"/>
                <w:sz w:val="21"/>
                <w:szCs w:val="21"/>
              </w:rPr>
              <w:t>的“高校检验检测机构负责人和内审员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交流培训会”的</w:t>
            </w:r>
            <w:r>
              <w:rPr>
                <w:rFonts w:hint="eastAsia" w:ascii="Times New Roman" w:hAnsi="Times New Roman" w:cs="Times New Roman"/>
                <w:sz w:val="21"/>
                <w:szCs w:val="21"/>
              </w:rPr>
              <w:t>资格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培训</w:t>
            </w:r>
            <w:r>
              <w:rPr>
                <w:rFonts w:hint="eastAsia" w:ascii="Times New Roman" w:hAnsi="Times New Roman" w:cs="Times New Roman"/>
                <w:sz w:val="21"/>
                <w:szCs w:val="21"/>
              </w:rPr>
              <w:t>，</w:t>
            </w: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并取得相应证书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218" w:leftChars="104" w:right="172" w:rightChars="82" w:firstLine="422" w:firstLineChars="200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在实验教学过程中不断总结、创新教学方法，探索并应用现代化的教学手段和实验技术方法，注重对学生能力的培养</w:t>
            </w:r>
            <w:r>
              <w:rPr>
                <w:rFonts w:hint="eastAsia" w:ascii="Times New Roman" w:hAnsi="Times New Roman" w:cs="Times New Roman"/>
                <w:b/>
                <w:bCs/>
                <w:sz w:val="21"/>
                <w:szCs w:val="21"/>
                <w:lang w:eastAsia="zh-CN"/>
              </w:rPr>
              <w:t>，在培养学生实验技能方面成绩显著</w:t>
            </w: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，具有组织和指导大型实验技术的能力和解决关键性技术问题的能力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。自2015年以来，承担本科生《仪器分析》——液相色谱分析实验课程，主讲高效液相色谱分析的基础理论知识，规范学生的</w:t>
            </w:r>
            <w:r>
              <w:rPr>
                <w:rFonts w:hint="eastAsia" w:ascii="Times New Roman" w:hAnsi="Times New Roman" w:cs="Times New Roman"/>
                <w:sz w:val="21"/>
                <w:szCs w:val="21"/>
              </w:rPr>
              <w:t>实验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操作、指导学生分析实验数据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，分析实验过程中遇到的问题和解决方案，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并完成实验报告。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基于此，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申请</w:t>
            </w: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校级教改项目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——“</w:t>
            </w:r>
            <w:r>
              <w:rPr>
                <w:rFonts w:ascii="Times New Roman" w:hAnsi="Times New Roman" w:eastAsia="宋体" w:cs="Times New Roman"/>
                <w:bCs/>
                <w:sz w:val="21"/>
                <w:szCs w:val="21"/>
              </w:rPr>
              <w:t>大学生大型分析仪器实验课程教学改革的探讨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”（hsjg2019-21，</w:t>
            </w:r>
            <w:r>
              <w:rPr>
                <w:rFonts w:hint="eastAsia" w:ascii="Times New Roman" w:hAnsi="Times New Roman" w:cs="Times New Roman"/>
                <w:bCs/>
                <w:sz w:val="21"/>
                <w:szCs w:val="21"/>
              </w:rPr>
              <w:t>已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结题），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发表相关</w:t>
            </w: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实验课程设计和</w:t>
            </w:r>
            <w:r>
              <w:rPr>
                <w:rFonts w:hint="eastAsia" w:ascii="Times New Roman" w:hAnsi="Times New Roman" w:cs="Times New Roman"/>
                <w:b/>
                <w:sz w:val="21"/>
                <w:szCs w:val="21"/>
              </w:rPr>
              <w:t>实验教学</w:t>
            </w: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改革的论文《大学化学实验改革及创新型人才培养探索》</w:t>
            </w:r>
            <w:r>
              <w:rPr>
                <w:rFonts w:hint="eastAsia" w:ascii="Times New Roman" w:hAnsi="Times New Roman" w:cs="Times New Roman"/>
                <w:b/>
                <w:sz w:val="21"/>
                <w:szCs w:val="21"/>
                <w:lang w:eastAsia="zh-CN"/>
              </w:rPr>
              <w:t>和</w:t>
            </w: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《</w:t>
            </w:r>
            <w:r>
              <w:rPr>
                <w:rFonts w:ascii="Times New Roman" w:cs="Times New Roman"/>
                <w:b/>
                <w:sz w:val="21"/>
                <w:szCs w:val="21"/>
              </w:rPr>
              <w:t>仪器分析实验课程教学设计</w:t>
            </w: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—</w:t>
            </w:r>
            <w:r>
              <w:rPr>
                <w:rFonts w:ascii="Times New Roman" w:cs="Times New Roman"/>
                <w:b/>
                <w:sz w:val="21"/>
                <w:szCs w:val="21"/>
              </w:rPr>
              <w:t>以高效液相色谱分析为例</w:t>
            </w: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》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。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此外，指导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研究生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和部分高年级本科生的高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/低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质谱仪的使用和操作，培训后均可完成独立操作。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2018-2020年指导并完成大学生创新项目四项，2018年指导学生获得互联网+三等奖一项，指导本科生以第一作者发表核心论文一篇。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7" w:hRule="atLeast"/>
        </w:trPr>
        <w:tc>
          <w:tcPr>
            <w:tcW w:w="429" w:type="pc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业务条件（2）情况</w:t>
            </w:r>
          </w:p>
        </w:tc>
        <w:tc>
          <w:tcPr>
            <w:tcW w:w="4571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360" w:lineRule="auto"/>
              <w:ind w:left="218" w:leftChars="104" w:right="172" w:rightChars="82" w:firstLine="422" w:firstLineChars="200"/>
              <w:textAlignment w:val="auto"/>
            </w:pPr>
            <w:r>
              <w:rPr>
                <w:rFonts w:hint="eastAsia" w:ascii="Times New Roman" w:hAnsi="Times New Roman" w:cs="Times New Roman"/>
                <w:b/>
                <w:bCs/>
                <w:sz w:val="21"/>
                <w:szCs w:val="21"/>
                <w:lang w:eastAsia="zh-CN"/>
              </w:rPr>
              <w:t>在本学科实验设备和实验技术的改进、新设备和新技术的使用、实验室建设及管理、中初级实验技术人员培训等方面做出突出贡献。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2011年Waters高效液相色谱和Bruker低分辨液质联用入驻海师，2019年ThermoFisher高分辨液质联用落户海师，均由本人全程跟踪接收、安装、培训，以及后期的高级应用培训。本人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能够熟练规范操作仪器设备，认真维护保养设备，所管理的设备使用记录、维护维修记录、培训记录等资料健全完善，</w:t>
            </w:r>
            <w:r>
              <w:rPr>
                <w:rFonts w:hint="eastAsia" w:ascii="Times New Roman" w:hAnsi="Times New Roman" w:cs="Times New Roman"/>
                <w:sz w:val="21"/>
                <w:szCs w:val="21"/>
              </w:rPr>
              <w:t>对于送检样品，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制定详细的送样标准、设备使用程序、操作规程等制度，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多年高强度运行（正常上班时间均有测试），未有过重大维修（仅有一次维修）。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2013-2020年间，完成四万余样品测试，支持全院申报与液相色谱和质谱仪使用相关的国家级、省部级项目40余项，发表SCI论文近200篇，支持本硕博毕业论文200余篇，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仪器使用率和科研产出率高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。在实验室建设方面，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配合部门领导完善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液质联用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实验室管理制度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和工作条例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，提高实验室管理水平和效率，推动测试中心的长足发展。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协助本学院或测试中心领导完成学院重点实验室评估、化学学科评估、院士工作站申报、各类项目验收等相关材料和数据的采集和填报，实验室安全信息的填报和其他实验教学管理工作。</w:t>
            </w: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结合岗位的设备管理经验和心得，发表相关文章《地方师范院校大型精密仪器的管理和维护方案及对策分析》</w:t>
            </w: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。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在此基础上，深入探索</w:t>
            </w:r>
            <w:r>
              <w:rPr>
                <w:rFonts w:hint="eastAsia" w:ascii="Times New Roman" w:hAnsi="Times New Roman" w:cs="Times New Roman"/>
                <w:sz w:val="21"/>
                <w:szCs w:val="21"/>
              </w:rPr>
              <w:t>这些技术方法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在天然产物分析、药物分析、电化学分析等领域的</w:t>
            </w:r>
            <w:r>
              <w:rPr>
                <w:rFonts w:hint="eastAsia" w:ascii="Times New Roman" w:hAnsi="Times New Roman" w:cs="Times New Roman"/>
                <w:sz w:val="21"/>
                <w:szCs w:val="21"/>
              </w:rPr>
              <w:t>应用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方法和拓展的联用技术，注重实验技术和方法在科研中的</w:t>
            </w:r>
            <w:r>
              <w:rPr>
                <w:rFonts w:hint="eastAsia" w:ascii="Times New Roman" w:hAnsi="Times New Roman" w:cs="Times New Roman"/>
                <w:sz w:val="21"/>
                <w:szCs w:val="21"/>
              </w:rPr>
              <w:t>应用研究和开发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，</w:t>
            </w: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主持海南省自然科学基金</w:t>
            </w:r>
            <w:r>
              <w:rPr>
                <w:rFonts w:hint="eastAsia" w:ascii="Times New Roman" w:hAnsi="Times New Roman" w:cs="Times New Roman"/>
                <w:b/>
                <w:sz w:val="21"/>
                <w:szCs w:val="21"/>
              </w:rPr>
              <w:t>2</w:t>
            </w: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项（</w:t>
            </w:r>
            <w:r>
              <w:rPr>
                <w:rFonts w:hint="eastAsia" w:ascii="Times New Roman" w:hAnsi="Times New Roman" w:cs="Times New Roman"/>
                <w:b/>
                <w:sz w:val="21"/>
                <w:szCs w:val="21"/>
              </w:rPr>
              <w:t>一项</w:t>
            </w: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已结题</w:t>
            </w:r>
            <w:r>
              <w:rPr>
                <w:rFonts w:hint="eastAsia" w:ascii="Times New Roman" w:hAnsi="Times New Roman" w:cs="Times New Roman"/>
                <w:b/>
                <w:sz w:val="21"/>
                <w:szCs w:val="21"/>
              </w:rPr>
              <w:t>，一项待结题</w:t>
            </w: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）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29" w:type="pct"/>
            <w:tcBorders>
              <w:bottom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业务条件（3）情况（如有教学明细填入下表）</w:t>
            </w:r>
          </w:p>
        </w:tc>
        <w:tc>
          <w:tcPr>
            <w:tcW w:w="4571" w:type="pct"/>
            <w:tcBorders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360" w:lineRule="auto"/>
              <w:ind w:left="218" w:leftChars="104" w:right="172" w:rightChars="82" w:firstLine="420" w:firstLineChars="200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除以上管理维护大型仪器工作外，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还主要承担本学院和外单位的样品测试工作，高分辨液质联用仪、低分辨液质联用仪和液相色谱的平均机时分别可达</w:t>
            </w: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1000小时/年、1000小时/年和500小时/年，</w:t>
            </w:r>
            <w:r>
              <w:rPr>
                <w:rFonts w:hint="eastAsia" w:ascii="Times New Roman" w:hAnsi="Times New Roman" w:cs="Times New Roman"/>
                <w:b/>
                <w:bCs/>
                <w:sz w:val="21"/>
                <w:szCs w:val="21"/>
              </w:rPr>
              <w:t>平均</w:t>
            </w: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测样量可达3500-4000样/年、3500-4000样/年和1000-1500样/年，</w:t>
            </w:r>
            <w:r>
              <w:rPr>
                <w:rFonts w:hint="eastAsia" w:ascii="Times New Roman" w:hAnsi="Times New Roman" w:cs="Times New Roman"/>
                <w:b/>
                <w:bCs/>
                <w:sz w:val="21"/>
                <w:szCs w:val="21"/>
                <w:lang w:eastAsia="zh-CN"/>
              </w:rPr>
              <w:t>仪器使用率高，</w:t>
            </w:r>
            <w:r>
              <w:rPr>
                <w:rFonts w:ascii="Times New Roman" w:cs="Times New Roman"/>
                <w:sz w:val="21"/>
                <w:szCs w:val="21"/>
              </w:rPr>
              <w:t>能够及时完成测试样品并取得良好的实验结果，</w:t>
            </w:r>
            <w:r>
              <w:rPr>
                <w:rFonts w:hint="eastAsia" w:ascii="Times New Roman" w:hAnsi="Times New Roman" w:cs="Times New Roman"/>
                <w:sz w:val="21"/>
                <w:szCs w:val="21"/>
              </w:rPr>
              <w:t>有力支持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科研工作的正常开展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，取得了很好的费效比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。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承担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2015年以来仪器分析-高效液相色谱的实验课程，2017-2020年间每年都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指导本科生毕业设计，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2018-2020年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大学生创新项目，研究生科研项目</w:t>
            </w:r>
            <w:r>
              <w:rPr>
                <w:rFonts w:hint="eastAsia" w:ascii="Times New Roman" w:hAnsi="Times New Roman" w:cs="Times New Roman"/>
                <w:sz w:val="21"/>
                <w:szCs w:val="21"/>
              </w:rPr>
              <w:t>的实验设计与技术指导，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研究生大型仪器操作培训</w:t>
            </w:r>
            <w:r>
              <w:rPr>
                <w:rFonts w:hint="eastAsia" w:ascii="Times New Roman" w:hAnsi="Times New Roman" w:cs="Times New Roman"/>
                <w:sz w:val="21"/>
                <w:szCs w:val="21"/>
              </w:rPr>
              <w:t>和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测试培训，以及相关的安全教育和业务管理教育等，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2015-2019年间负责学院出入库管理工作，2018-2020年间承担材料物理化学学科的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成果整理和资料汇总工作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1" w:hRule="atLeast"/>
        </w:trPr>
        <w:tc>
          <w:tcPr>
            <w:tcW w:w="429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业务条件（4）情况</w:t>
            </w:r>
          </w:p>
        </w:tc>
        <w:tc>
          <w:tcPr>
            <w:tcW w:w="4571" w:type="pct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69" w:beforeLines="150" w:after="157" w:afterLines="50" w:line="360" w:lineRule="auto"/>
              <w:ind w:left="218" w:leftChars="104" w:right="172" w:rightChars="82" w:firstLine="420" w:firstLineChars="200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自2011年入职以来，在任职岗位兢兢业业，认真管理维护设备，并配合学院安排做好相关的工作。服务质量好，综合评价高，申报专业技术职务单位民意测评同意票超过2/3。</w:t>
            </w:r>
          </w:p>
        </w:tc>
      </w:tr>
    </w:tbl>
    <w:p>
      <w:pPr>
        <w:widowControl/>
        <w:jc w:val="left"/>
      </w:pPr>
      <w:r>
        <w:br w:type="page"/>
      </w:r>
    </w:p>
    <w:p/>
    <w:tbl>
      <w:tblPr>
        <w:tblStyle w:val="5"/>
        <w:tblW w:w="9781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3827"/>
        <w:gridCol w:w="2126"/>
        <w:gridCol w:w="709"/>
        <w:gridCol w:w="709"/>
        <w:gridCol w:w="85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97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业务条件（3）任现职以来教学工作情况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学年、学期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课程名称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班级名称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课堂时数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评价等级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2015-2016</w:t>
            </w:r>
            <w:r>
              <w:rPr>
                <w:rFonts w:hint="eastAsia" w:ascii="Times New Roman" w:hAnsi="Times New Roman"/>
                <w:szCs w:val="21"/>
              </w:rPr>
              <w:t>（</w:t>
            </w:r>
            <w:r>
              <w:rPr>
                <w:rFonts w:ascii="Times New Roman" w:hAnsi="宋体"/>
                <w:szCs w:val="21"/>
              </w:rPr>
              <w:t>一</w:t>
            </w:r>
            <w:r>
              <w:rPr>
                <w:rFonts w:hint="eastAsia" w:ascii="Times New Roman" w:hAnsi="Times New Roman"/>
                <w:szCs w:val="21"/>
              </w:rPr>
              <w:t>）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宋体"/>
                <w:szCs w:val="21"/>
              </w:rPr>
              <w:t>仪器分析</w:t>
            </w:r>
            <w:r>
              <w:rPr>
                <w:rFonts w:ascii="Times New Roman" w:hAnsi="Times New Roman"/>
                <w:szCs w:val="21"/>
              </w:rPr>
              <w:t>-</w:t>
            </w:r>
            <w:r>
              <w:rPr>
                <w:rFonts w:ascii="Times New Roman" w:hAnsi="宋体"/>
                <w:szCs w:val="21"/>
              </w:rPr>
              <w:t>高效液相色谱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13</w:t>
            </w:r>
            <w:r>
              <w:rPr>
                <w:rFonts w:hint="eastAsia" w:ascii="Times New Roman" w:hAnsi="宋体"/>
                <w:szCs w:val="21"/>
              </w:rPr>
              <w:t>级共5个班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pacing w:val="-24"/>
                <w:szCs w:val="21"/>
              </w:rPr>
            </w:pPr>
            <w:r>
              <w:rPr>
                <w:rFonts w:hint="eastAsia" w:ascii="Times New Roman" w:hAnsi="Times New Roman"/>
                <w:spacing w:val="-24"/>
                <w:szCs w:val="21"/>
              </w:rPr>
              <w:t>共40学时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2017-2018</w:t>
            </w:r>
            <w:r>
              <w:rPr>
                <w:rFonts w:hint="eastAsia" w:ascii="Times New Roman" w:hAnsi="宋体"/>
                <w:szCs w:val="21"/>
              </w:rPr>
              <w:t>（一）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宋体"/>
                <w:szCs w:val="21"/>
              </w:rPr>
              <w:t>仪器分析</w:t>
            </w:r>
            <w:r>
              <w:rPr>
                <w:rFonts w:ascii="Times New Roman" w:hAnsi="Times New Roman"/>
                <w:szCs w:val="21"/>
              </w:rPr>
              <w:t>-</w:t>
            </w:r>
            <w:r>
              <w:rPr>
                <w:rFonts w:ascii="Times New Roman" w:hAnsi="宋体"/>
                <w:szCs w:val="21"/>
              </w:rPr>
              <w:t>高效液相色谱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15级3个班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pacing w:val="-24"/>
                <w:szCs w:val="21"/>
              </w:rPr>
            </w:pPr>
            <w:r>
              <w:rPr>
                <w:rFonts w:hint="eastAsia" w:ascii="Times New Roman" w:hAnsi="Times New Roman"/>
                <w:spacing w:val="-24"/>
                <w:szCs w:val="21"/>
              </w:rPr>
              <w:t>共24学时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2018-2019</w:t>
            </w:r>
            <w:r>
              <w:rPr>
                <w:rFonts w:hint="eastAsia" w:ascii="Times New Roman" w:hAnsi="宋体"/>
                <w:szCs w:val="21"/>
              </w:rPr>
              <w:t>（一）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宋体"/>
                <w:szCs w:val="21"/>
              </w:rPr>
              <w:t>仪器分析</w:t>
            </w:r>
            <w:r>
              <w:rPr>
                <w:rFonts w:ascii="Times New Roman" w:hAnsi="Times New Roman"/>
                <w:szCs w:val="21"/>
              </w:rPr>
              <w:t>-</w:t>
            </w:r>
            <w:r>
              <w:rPr>
                <w:rFonts w:ascii="Times New Roman" w:hAnsi="宋体"/>
                <w:szCs w:val="21"/>
              </w:rPr>
              <w:t>高效液相色谱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宋体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</w:t>
            </w:r>
            <w:r>
              <w:rPr>
                <w:rFonts w:hint="eastAsia" w:ascii="Times New Roman" w:hAnsi="Times New Roman"/>
                <w:szCs w:val="21"/>
              </w:rPr>
              <w:t>8</w:t>
            </w:r>
            <w:r>
              <w:rPr>
                <w:rFonts w:ascii="Times New Roman" w:hAnsi="宋体"/>
                <w:szCs w:val="21"/>
              </w:rPr>
              <w:t>应化班（</w:t>
            </w:r>
            <w:r>
              <w:rPr>
                <w:rFonts w:ascii="Times New Roman" w:hAnsi="Times New Roman"/>
                <w:szCs w:val="21"/>
              </w:rPr>
              <w:t>3+2</w:t>
            </w:r>
            <w:r>
              <w:rPr>
                <w:rFonts w:ascii="Times New Roman" w:hAnsi="宋体"/>
                <w:szCs w:val="21"/>
              </w:rPr>
              <w:t>）</w:t>
            </w:r>
          </w:p>
          <w:p>
            <w:pPr>
              <w:jc w:val="center"/>
              <w:rPr>
                <w:rFonts w:ascii="Times New Roman" w:hAnsi="宋体"/>
                <w:szCs w:val="21"/>
              </w:rPr>
            </w:pPr>
            <w:r>
              <w:rPr>
                <w:rFonts w:hint="eastAsia" w:ascii="Times New Roman" w:hAnsi="宋体"/>
                <w:szCs w:val="21"/>
              </w:rPr>
              <w:t>和</w:t>
            </w:r>
            <w:r>
              <w:rPr>
                <w:rFonts w:ascii="Times New Roman" w:hAnsi="Times New Roman"/>
                <w:szCs w:val="21"/>
              </w:rPr>
              <w:t>16</w:t>
            </w:r>
            <w:r>
              <w:rPr>
                <w:rFonts w:ascii="Times New Roman" w:hAnsi="宋体"/>
                <w:szCs w:val="21"/>
              </w:rPr>
              <w:t>应化班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pacing w:val="-24"/>
                <w:szCs w:val="21"/>
              </w:rPr>
            </w:pPr>
            <w:r>
              <w:rPr>
                <w:rFonts w:hint="eastAsia" w:ascii="Times New Roman" w:hAnsi="Times New Roman"/>
                <w:spacing w:val="-24"/>
                <w:szCs w:val="21"/>
              </w:rPr>
              <w:t>共14学时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2018-2019</w:t>
            </w:r>
            <w:r>
              <w:rPr>
                <w:rFonts w:hint="eastAsia" w:ascii="Times New Roman" w:hAnsi="宋体"/>
                <w:szCs w:val="21"/>
              </w:rPr>
              <w:t>（二）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宋体"/>
                <w:szCs w:val="21"/>
              </w:rPr>
              <w:t>仪器分析</w:t>
            </w:r>
            <w:r>
              <w:rPr>
                <w:rFonts w:ascii="Times New Roman" w:hAnsi="Times New Roman"/>
                <w:szCs w:val="21"/>
              </w:rPr>
              <w:t>-</w:t>
            </w:r>
            <w:r>
              <w:rPr>
                <w:rFonts w:ascii="Times New Roman" w:hAnsi="宋体"/>
                <w:szCs w:val="21"/>
              </w:rPr>
              <w:t>高效液相色谱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16级4个班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pacing w:val="-24"/>
                <w:szCs w:val="21"/>
              </w:rPr>
            </w:pPr>
            <w:r>
              <w:rPr>
                <w:rFonts w:hint="eastAsia" w:ascii="Times New Roman" w:hAnsi="Times New Roman"/>
                <w:spacing w:val="-24"/>
                <w:szCs w:val="21"/>
              </w:rPr>
              <w:t>共32学时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2019-2020</w:t>
            </w:r>
            <w:r>
              <w:rPr>
                <w:rFonts w:hint="eastAsia" w:ascii="Times New Roman" w:hAnsi="宋体"/>
                <w:szCs w:val="21"/>
              </w:rPr>
              <w:t>（一）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宋体"/>
                <w:szCs w:val="21"/>
              </w:rPr>
              <w:t>仪器分析</w:t>
            </w:r>
            <w:r>
              <w:rPr>
                <w:rFonts w:ascii="Times New Roman" w:hAnsi="Times New Roman"/>
                <w:szCs w:val="21"/>
              </w:rPr>
              <w:t>-</w:t>
            </w:r>
            <w:r>
              <w:rPr>
                <w:rFonts w:ascii="Times New Roman" w:hAnsi="宋体"/>
                <w:szCs w:val="21"/>
              </w:rPr>
              <w:t>高效液相色谱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17级2个班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pacing w:val="-24"/>
                <w:szCs w:val="21"/>
              </w:rPr>
            </w:pPr>
            <w:r>
              <w:rPr>
                <w:rFonts w:hint="eastAsia" w:ascii="Times New Roman" w:hAnsi="Times New Roman"/>
                <w:spacing w:val="-24"/>
                <w:szCs w:val="21"/>
              </w:rPr>
              <w:t>共16学时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2019-2020</w:t>
            </w:r>
            <w:r>
              <w:rPr>
                <w:rFonts w:hint="eastAsia" w:ascii="Times New Roman" w:hAnsi="宋体"/>
                <w:szCs w:val="21"/>
              </w:rPr>
              <w:t>（二）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宋体"/>
                <w:szCs w:val="21"/>
              </w:rPr>
              <w:t>仪器分析</w:t>
            </w:r>
            <w:r>
              <w:rPr>
                <w:rFonts w:ascii="Times New Roman" w:hAnsi="Times New Roman"/>
                <w:szCs w:val="21"/>
              </w:rPr>
              <w:t>-</w:t>
            </w:r>
            <w:r>
              <w:rPr>
                <w:rFonts w:ascii="Times New Roman" w:hAnsi="宋体"/>
                <w:szCs w:val="21"/>
              </w:rPr>
              <w:t>高效液相色谱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17级3个班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pacing w:val="-24"/>
                <w:szCs w:val="21"/>
              </w:rPr>
              <w:t>共24学时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2020-2021（一）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宋体"/>
                <w:szCs w:val="21"/>
              </w:rPr>
            </w:pPr>
            <w:r>
              <w:rPr>
                <w:rFonts w:ascii="Times New Roman" w:hAnsi="宋体"/>
                <w:szCs w:val="21"/>
              </w:rPr>
              <w:t>仪器分析</w:t>
            </w:r>
            <w:r>
              <w:rPr>
                <w:rFonts w:ascii="Times New Roman" w:hAnsi="Times New Roman"/>
                <w:szCs w:val="21"/>
              </w:rPr>
              <w:t>-</w:t>
            </w:r>
            <w:r>
              <w:rPr>
                <w:rFonts w:ascii="Times New Roman" w:hAnsi="宋体"/>
                <w:szCs w:val="21"/>
              </w:rPr>
              <w:t>高效液相色谱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18级3个班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pacing w:val="-24"/>
                <w:szCs w:val="21"/>
              </w:rPr>
              <w:t>共24学时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</w:tbl>
    <w:tbl>
      <w:tblPr>
        <w:tblStyle w:val="6"/>
        <w:tblW w:w="9781" w:type="dxa"/>
        <w:tblInd w:w="108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822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2" w:hRule="atLeast"/>
        </w:trPr>
        <w:tc>
          <w:tcPr>
            <w:tcW w:w="156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学院审核业务条件情况</w:t>
            </w:r>
          </w:p>
        </w:tc>
        <w:tc>
          <w:tcPr>
            <w:tcW w:w="8221" w:type="dxa"/>
          </w:tcPr>
          <w:p/>
          <w:p/>
          <w:p/>
          <w:p/>
          <w:p/>
          <w:p/>
          <w:p/>
          <w:p/>
          <w:p/>
          <w:p>
            <w:r>
              <w:rPr>
                <w:rFonts w:hint="eastAsia"/>
              </w:rPr>
              <w:t>学院负责人签名（盖章）：                    日期：</w:t>
            </w:r>
          </w:p>
        </w:tc>
      </w:tr>
    </w:tbl>
    <w:p>
      <w:pPr>
        <w:widowControl/>
        <w:jc w:val="left"/>
      </w:pPr>
      <w:r>
        <w:br w:type="page"/>
      </w:r>
    </w:p>
    <w:p/>
    <w:tbl>
      <w:tblPr>
        <w:tblStyle w:val="6"/>
        <w:tblW w:w="9781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0"/>
        <w:gridCol w:w="708"/>
        <w:gridCol w:w="716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9781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任现职以来的科研业绩情况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</w:trPr>
        <w:tc>
          <w:tcPr>
            <w:tcW w:w="1910" w:type="dxa"/>
            <w:vMerge w:val="restart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科研业绩条件</w:t>
            </w:r>
          </w:p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（列出本人符合的条款）</w:t>
            </w:r>
          </w:p>
        </w:tc>
        <w:tc>
          <w:tcPr>
            <w:tcW w:w="708" w:type="dxa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必备条件</w:t>
            </w:r>
          </w:p>
        </w:tc>
        <w:tc>
          <w:tcPr>
            <w:tcW w:w="7163" w:type="dxa"/>
            <w:tcBorders>
              <w:bottom w:val="single" w:color="auto" w:sz="4" w:space="0"/>
            </w:tcBorders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fldChar w:fldCharType="begin"/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instrText xml:space="preserve"> = 1 \* GB3 </w:instrTex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fldChar w:fldCharType="separate"/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①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fldChar w:fldCharType="end"/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主持海南省自然科学基金项目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Cs w:val="21"/>
              </w:rPr>
              <w:t>2</w:t>
            </w: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项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Cs w:val="21"/>
              </w:rPr>
              <w:t>（其中1项已结题，1项待结题）</w:t>
            </w: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。</w:t>
            </w:r>
          </w:p>
          <w:p>
            <w:pPr>
              <w:widowControl/>
              <w:spacing w:line="360" w:lineRule="auto"/>
              <w:ind w:left="250" w:hanging="249" w:hangingChars="119"/>
              <w:jc w:val="left"/>
              <w:rPr>
                <w:rFonts w:ascii="仿宋_GB2312" w:hAnsi="宋体" w:eastAsia="仿宋_GB2312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fldChar w:fldCharType="begin"/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instrText xml:space="preserve"> = 2 \* GB3 </w:instrTex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fldChar w:fldCharType="separate"/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②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fldChar w:fldCharType="end"/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以第一作者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Cs w:val="21"/>
              </w:rPr>
              <w:t>或通讯作者</w:t>
            </w: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发表论文1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Cs w:val="21"/>
              </w:rPr>
              <w:t>6</w:t>
            </w: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篇，其中SCI收录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Cs w:val="21"/>
              </w:rPr>
              <w:t>6</w:t>
            </w: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篇，核心期刊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Cs w:val="21"/>
                <w:lang w:val="en-US" w:eastAsia="zh-CN"/>
              </w:rPr>
              <w:t>6</w:t>
            </w: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篇，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Cs w:val="21"/>
                <w:lang w:eastAsia="zh-CN"/>
              </w:rPr>
              <w:t>其他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Cs w:val="21"/>
                <w:lang w:val="en-US" w:eastAsia="zh-CN"/>
              </w:rPr>
              <w:t>4篇</w:t>
            </w: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2" w:hRule="atLeast"/>
        </w:trPr>
        <w:tc>
          <w:tcPr>
            <w:tcW w:w="1910" w:type="dxa"/>
            <w:vMerge w:val="continue"/>
          </w:tcPr>
          <w:p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任选条件</w:t>
            </w:r>
          </w:p>
        </w:tc>
        <w:tc>
          <w:tcPr>
            <w:tcW w:w="7163" w:type="dxa"/>
            <w:tcBorders>
              <w:top w:val="single" w:color="auto" w:sz="4" w:space="0"/>
            </w:tcBorders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fldChar w:fldCharType="begin"/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instrText xml:space="preserve"> = 1 \* GB3 </w:instrTex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fldChar w:fldCharType="separate"/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①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fldChar w:fldCharType="end"/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Cs w:val="21"/>
              </w:rPr>
              <w:t>授权国家发明专利2项。</w:t>
            </w:r>
          </w:p>
          <w:p>
            <w:pPr>
              <w:widowControl/>
              <w:spacing w:line="360" w:lineRule="auto"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fldChar w:fldCharType="begin"/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instrText xml:space="preserve"> = 2 \* GB3 </w:instrTex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fldChar w:fldCharType="separate"/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②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fldChar w:fldCharType="end"/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Times New Roman" w:hAnsi="宋体" w:cs="Times New Roman"/>
                <w:color w:val="000000"/>
                <w:kern w:val="0"/>
                <w:szCs w:val="21"/>
              </w:rPr>
              <w:t>参编著作</w:t>
            </w:r>
            <w:r>
              <w:rPr>
                <w:rFonts w:hint="eastAsia" w:ascii="Times New Roman" w:hAnsi="宋体" w:cs="Times New Roman"/>
                <w:color w:val="000000"/>
                <w:kern w:val="0"/>
                <w:szCs w:val="21"/>
              </w:rPr>
              <w:t>1</w:t>
            </w:r>
            <w:r>
              <w:rPr>
                <w:rFonts w:ascii="Times New Roman" w:hAnsi="宋体" w:cs="Times New Roman"/>
                <w:color w:val="000000"/>
                <w:kern w:val="0"/>
                <w:szCs w:val="21"/>
              </w:rPr>
              <w:t>部（个人撰写字数</w:t>
            </w: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10.2</w:t>
            </w:r>
            <w:r>
              <w:rPr>
                <w:rFonts w:ascii="Times New Roman" w:hAnsi="宋体" w:cs="Times New Roman"/>
                <w:color w:val="000000"/>
                <w:kern w:val="0"/>
                <w:szCs w:val="21"/>
              </w:rPr>
              <w:t>万字）。</w:t>
            </w:r>
          </w:p>
        </w:tc>
      </w:tr>
    </w:tbl>
    <w:p/>
    <w:p/>
    <w:tbl>
      <w:tblPr>
        <w:tblStyle w:val="6"/>
        <w:tblW w:w="9781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3381"/>
        <w:gridCol w:w="1230"/>
        <w:gridCol w:w="1275"/>
        <w:gridCol w:w="959"/>
        <w:gridCol w:w="1064"/>
        <w:gridCol w:w="12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9781" w:type="dxa"/>
            <w:gridSpan w:val="7"/>
            <w:vAlign w:val="center"/>
          </w:tcPr>
          <w:p>
            <w:pPr>
              <w:jc w:val="center"/>
            </w:pPr>
            <w:r>
              <w:br w:type="page"/>
            </w:r>
            <w:r>
              <w:rPr>
                <w:rFonts w:hint="eastAsia"/>
                <w:b/>
                <w:bCs/>
              </w:rPr>
              <w:t>必备条件之</w:t>
            </w:r>
            <w:r>
              <w:rPr>
                <w:rFonts w:hint="eastAsia"/>
                <w:b/>
                <w:bCs/>
              </w:rPr>
              <w:fldChar w:fldCharType="begin"/>
            </w:r>
            <w:r>
              <w:rPr>
                <w:rFonts w:hint="eastAsia"/>
                <w:b/>
                <w:bCs/>
              </w:rPr>
              <w:instrText xml:space="preserve"> = 1 \* GB3 </w:instrText>
            </w:r>
            <w:r>
              <w:rPr>
                <w:rFonts w:hint="eastAsia"/>
                <w:b/>
                <w:bCs/>
              </w:rPr>
              <w:fldChar w:fldCharType="separate"/>
            </w:r>
            <w:r>
              <w:rPr>
                <w:rFonts w:hint="eastAsia"/>
                <w:b/>
                <w:bCs/>
              </w:rPr>
              <w:t>①</w:t>
            </w:r>
            <w:r>
              <w:rPr>
                <w:rFonts w:hint="eastAsia"/>
                <w:b/>
                <w:bCs/>
              </w:rPr>
              <w:fldChar w:fldCharType="end"/>
            </w:r>
            <w:r>
              <w:rPr>
                <w:rFonts w:hint="eastAsia"/>
                <w:b/>
                <w:bCs/>
              </w:rPr>
              <w:t xml:space="preserve"> 纵向科研项目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338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123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批准号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项目来源</w:t>
            </w:r>
          </w:p>
        </w:tc>
        <w:tc>
          <w:tcPr>
            <w:tcW w:w="95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立项</w:t>
            </w:r>
          </w:p>
          <w:p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时间</w:t>
            </w:r>
          </w:p>
        </w:tc>
        <w:tc>
          <w:tcPr>
            <w:tcW w:w="1064" w:type="dxa"/>
            <w:vAlign w:val="center"/>
          </w:tcPr>
          <w:p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立项经费（万元）</w:t>
            </w:r>
          </w:p>
        </w:tc>
        <w:tc>
          <w:tcPr>
            <w:tcW w:w="129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是否</w:t>
            </w:r>
          </w:p>
          <w:p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主持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381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海洋来源内生真菌醌类次级代谢产物的鉴定及HPLC/ESI-MS(n)研究</w:t>
            </w:r>
          </w:p>
        </w:tc>
        <w:tc>
          <w:tcPr>
            <w:tcW w:w="1230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20162029</w:t>
            </w:r>
          </w:p>
        </w:tc>
        <w:tc>
          <w:tcPr>
            <w:tcW w:w="1275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海南省自然</w:t>
            </w:r>
          </w:p>
          <w:p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科学基金</w:t>
            </w:r>
          </w:p>
        </w:tc>
        <w:tc>
          <w:tcPr>
            <w:tcW w:w="959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2016.01.</w:t>
            </w:r>
          </w:p>
        </w:tc>
        <w:tc>
          <w:tcPr>
            <w:tcW w:w="106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>
              <w:rPr>
                <w:rFonts w:hint="eastAsia" w:ascii="Times New Roman" w:hAnsi="Times New Roman" w:cs="Times New Roman"/>
              </w:rPr>
              <w:t>.0</w:t>
            </w:r>
          </w:p>
        </w:tc>
        <w:tc>
          <w:tcPr>
            <w:tcW w:w="1296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主持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381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Calibri" w:eastAsia="宋体" w:cs="Times New Roman"/>
              </w:rPr>
              <w:t>基于纳米二氧化钛复合材料的光电化学适配体传感器的制备及应用</w:t>
            </w:r>
          </w:p>
        </w:tc>
        <w:tc>
          <w:tcPr>
            <w:tcW w:w="1230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宋体" w:cs="Times New Roman"/>
              </w:rPr>
              <w:t>219QN207</w:t>
            </w:r>
          </w:p>
        </w:tc>
        <w:tc>
          <w:tcPr>
            <w:tcW w:w="1275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海南省自然</w:t>
            </w:r>
          </w:p>
          <w:p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科学基金</w:t>
            </w:r>
          </w:p>
        </w:tc>
        <w:tc>
          <w:tcPr>
            <w:tcW w:w="959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2019.03.</w:t>
            </w:r>
          </w:p>
        </w:tc>
        <w:tc>
          <w:tcPr>
            <w:tcW w:w="106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5.0</w:t>
            </w:r>
          </w:p>
        </w:tc>
        <w:tc>
          <w:tcPr>
            <w:tcW w:w="1296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主持</w:t>
            </w:r>
          </w:p>
        </w:tc>
      </w:tr>
    </w:tbl>
    <w:p/>
    <w:tbl>
      <w:tblPr>
        <w:tblStyle w:val="6"/>
        <w:tblW w:w="9781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5"/>
        <w:gridCol w:w="3171"/>
        <w:gridCol w:w="3260"/>
        <w:gridCol w:w="709"/>
        <w:gridCol w:w="850"/>
        <w:gridCol w:w="127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9781" w:type="dxa"/>
            <w:gridSpan w:val="6"/>
            <w:vAlign w:val="center"/>
          </w:tcPr>
          <w:p>
            <w:pPr>
              <w:spacing w:line="288" w:lineRule="auto"/>
              <w:jc w:val="center"/>
            </w:pPr>
            <w:r>
              <w:rPr>
                <w:rFonts w:hint="eastAsia"/>
                <w:b/>
                <w:bCs/>
              </w:rPr>
              <w:t>必备条件之</w:t>
            </w:r>
            <w:r>
              <w:rPr>
                <w:rFonts w:hint="eastAsia"/>
                <w:b/>
                <w:bCs/>
              </w:rPr>
              <w:fldChar w:fldCharType="begin"/>
            </w:r>
            <w:r>
              <w:rPr>
                <w:rFonts w:hint="eastAsia"/>
                <w:b/>
                <w:bCs/>
              </w:rPr>
              <w:instrText xml:space="preserve"> = 2 \* GB3 </w:instrText>
            </w:r>
            <w:r>
              <w:rPr>
                <w:rFonts w:hint="eastAsia"/>
                <w:b/>
                <w:bCs/>
              </w:rPr>
              <w:fldChar w:fldCharType="separate"/>
            </w:r>
            <w:r>
              <w:rPr>
                <w:rFonts w:hint="eastAsia"/>
                <w:b/>
                <w:bCs/>
              </w:rPr>
              <w:t>②</w:t>
            </w:r>
            <w:r>
              <w:rPr>
                <w:rFonts w:hint="eastAsia"/>
                <w:b/>
                <w:bCs/>
              </w:rPr>
              <w:fldChar w:fldCharType="end"/>
            </w:r>
            <w:r>
              <w:rPr>
                <w:rFonts w:hint="eastAsia"/>
                <w:b/>
                <w:bCs/>
              </w:rPr>
              <w:t xml:space="preserve"> 发表学术论文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9781" w:type="dxa"/>
            <w:gridSpan w:val="6"/>
            <w:vAlign w:val="center"/>
          </w:tcPr>
          <w:p>
            <w:pPr>
              <w:spacing w:line="288" w:lineRule="auto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以第一作者（或通信作者）发表论文总数：</w:t>
            </w:r>
            <w:r>
              <w:rPr>
                <w:rFonts w:hint="eastAsia" w:ascii="仿宋_GB2312" w:eastAsia="仿宋_GB2312"/>
                <w:szCs w:val="21"/>
                <w:highlight w:val="none"/>
              </w:rPr>
              <w:t>16篇，其中：</w:t>
            </w:r>
            <w:r>
              <w:rPr>
                <w:rFonts w:hint="eastAsia" w:ascii="仿宋_GB2312" w:eastAsia="仿宋_GB2312"/>
                <w:szCs w:val="21"/>
                <w:highlight w:val="none"/>
                <w:lang w:val="en-US" w:eastAsia="zh-CN"/>
              </w:rPr>
              <w:t>A</w:t>
            </w:r>
            <w:r>
              <w:rPr>
                <w:rFonts w:hint="eastAsia" w:ascii="仿宋_GB2312" w:eastAsia="仿宋_GB2312"/>
                <w:szCs w:val="21"/>
                <w:highlight w:val="none"/>
              </w:rPr>
              <w:t>类2篇，</w:t>
            </w:r>
            <w:r>
              <w:rPr>
                <w:rFonts w:hint="eastAsia" w:ascii="仿宋_GB2312" w:eastAsia="仿宋_GB2312"/>
                <w:szCs w:val="21"/>
                <w:highlight w:val="none"/>
                <w:lang w:val="en-US" w:eastAsia="zh-CN"/>
              </w:rPr>
              <w:t>B</w:t>
            </w:r>
            <w:r>
              <w:rPr>
                <w:rFonts w:hint="eastAsia" w:ascii="仿宋_GB2312" w:eastAsia="仿宋_GB2312"/>
                <w:szCs w:val="21"/>
                <w:highlight w:val="none"/>
              </w:rPr>
              <w:t>类</w:t>
            </w:r>
            <w:r>
              <w:rPr>
                <w:rFonts w:hint="eastAsia" w:ascii="仿宋_GB2312" w:eastAsia="仿宋_GB2312"/>
                <w:szCs w:val="21"/>
                <w:highlight w:val="none"/>
                <w:lang w:val="en-US" w:eastAsia="zh-CN"/>
              </w:rPr>
              <w:t>4</w:t>
            </w:r>
            <w:r>
              <w:rPr>
                <w:rFonts w:hint="eastAsia" w:ascii="仿宋_GB2312" w:eastAsia="仿宋_GB2312"/>
                <w:szCs w:val="21"/>
                <w:highlight w:val="none"/>
              </w:rPr>
              <w:t>篇，</w:t>
            </w:r>
            <w:r>
              <w:rPr>
                <w:rFonts w:hint="eastAsia" w:ascii="仿宋_GB2312" w:eastAsia="仿宋_GB2312"/>
                <w:szCs w:val="21"/>
                <w:highlight w:val="none"/>
                <w:lang w:val="en-US" w:eastAsia="zh-CN"/>
              </w:rPr>
              <w:t>C</w:t>
            </w:r>
            <w:r>
              <w:rPr>
                <w:rFonts w:hint="eastAsia" w:ascii="仿宋_GB2312" w:eastAsia="仿宋_GB2312"/>
                <w:szCs w:val="21"/>
                <w:highlight w:val="none"/>
              </w:rPr>
              <w:t>类</w:t>
            </w:r>
            <w:r>
              <w:rPr>
                <w:rFonts w:hint="eastAsia" w:ascii="仿宋_GB2312" w:eastAsia="仿宋_GB2312"/>
                <w:szCs w:val="21"/>
                <w:highlight w:val="none"/>
                <w:lang w:val="en-US" w:eastAsia="zh-CN"/>
              </w:rPr>
              <w:t>6</w:t>
            </w:r>
            <w:r>
              <w:rPr>
                <w:rFonts w:hint="eastAsia" w:ascii="仿宋_GB2312" w:eastAsia="仿宋_GB2312"/>
                <w:szCs w:val="21"/>
                <w:highlight w:val="none"/>
              </w:rPr>
              <w:t>篇，</w:t>
            </w:r>
            <w:r>
              <w:rPr>
                <w:rFonts w:hint="eastAsia" w:ascii="仿宋_GB2312" w:eastAsia="仿宋_GB2312"/>
                <w:szCs w:val="21"/>
                <w:highlight w:val="none"/>
                <w:lang w:val="en-US" w:eastAsia="zh-CN"/>
              </w:rPr>
              <w:t>D</w:t>
            </w:r>
            <w:r>
              <w:rPr>
                <w:rFonts w:hint="eastAsia" w:ascii="仿宋_GB2312" w:eastAsia="仿宋_GB2312"/>
                <w:szCs w:val="21"/>
                <w:highlight w:val="none"/>
              </w:rPr>
              <w:t>类</w:t>
            </w:r>
            <w:r>
              <w:rPr>
                <w:rFonts w:hint="eastAsia" w:ascii="仿宋_GB2312" w:eastAsia="仿宋_GB2312"/>
                <w:szCs w:val="21"/>
                <w:highlight w:val="none"/>
                <w:lang w:val="en-US" w:eastAsia="zh-CN"/>
              </w:rPr>
              <w:t>4</w:t>
            </w:r>
            <w:r>
              <w:rPr>
                <w:rFonts w:hint="eastAsia" w:ascii="仿宋_GB2312" w:eastAsia="仿宋_GB2312"/>
                <w:szCs w:val="21"/>
                <w:highlight w:val="none"/>
              </w:rPr>
              <w:t>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tcBorders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3171" w:type="dxa"/>
            <w:tcBorders>
              <w:lef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成果名称</w:t>
            </w:r>
          </w:p>
        </w:tc>
        <w:tc>
          <w:tcPr>
            <w:tcW w:w="3260" w:type="dxa"/>
            <w:vAlign w:val="center"/>
          </w:tcPr>
          <w:p>
            <w:pPr>
              <w:widowControl/>
              <w:spacing w:line="288" w:lineRule="auto"/>
              <w:jc w:val="center"/>
              <w:rPr>
                <w:rFonts w:eastAsia="宋体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刊物名称，发表时间和刊期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pacing w:line="288" w:lineRule="auto"/>
              <w:jc w:val="center"/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刊物级别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288" w:lineRule="auto"/>
              <w:jc w:val="center"/>
            </w:pPr>
            <w:r>
              <w:rPr>
                <w:rFonts w:hint="eastAsia"/>
              </w:rPr>
              <w:t>转载</w:t>
            </w:r>
          </w:p>
          <w:p>
            <w:pPr>
              <w:widowControl/>
              <w:spacing w:line="288" w:lineRule="auto"/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情况</w:t>
            </w: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检索证明</w:t>
            </w:r>
          </w:p>
          <w:p>
            <w:pPr>
              <w:widowControl/>
              <w:spacing w:line="288" w:lineRule="auto"/>
              <w:jc w:val="center"/>
              <w:rPr>
                <w:rFonts w:eastAsia="宋体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（有或无）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515" w:type="dxa"/>
            <w:tcBorders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1" w:type="dxa"/>
            <w:tcBorders>
              <w:lef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ZnO-reduced graphene oxide composite based photoelectrochemical aptasensor for sensitive Cd(II) detection with methylene blue as sensitizer</w:t>
            </w:r>
          </w:p>
        </w:tc>
        <w:tc>
          <w:tcPr>
            <w:tcW w:w="3260" w:type="dxa"/>
            <w:vAlign w:val="center"/>
          </w:tcPr>
          <w:p>
            <w:pPr>
              <w:widowControl/>
              <w:spacing w:line="288" w:lineRule="auto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cs="Times New Roman"/>
              </w:rPr>
              <w:t>Analytica Chimica Acta, 2020, 1118: 1-8.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SCI</w:t>
            </w:r>
            <w:r>
              <w:rPr>
                <w:rFonts w:ascii="Times New Roman" w:hAnsi="Times New Roman" w:eastAsia="宋体" w:cs="Times New Roman"/>
              </w:rPr>
              <w:t>二区</w:t>
            </w:r>
          </w:p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A</w:t>
            </w:r>
            <w:r>
              <w:rPr>
                <w:rFonts w:hint="eastAsia" w:ascii="Times New Roman" w:hAnsi="Times New Roman" w:eastAsia="宋体" w:cs="Times New Roman"/>
              </w:rPr>
              <w:t>类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515" w:type="dxa"/>
            <w:tcBorders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71" w:type="dxa"/>
            <w:tcBorders>
              <w:lef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cs="Times New Roman"/>
              </w:rPr>
              <w:t>Electrochemical performance and electrocatalytic behavior of myoglobin on graphene tube-modified electrode</w:t>
            </w:r>
          </w:p>
        </w:tc>
        <w:tc>
          <w:tcPr>
            <w:tcW w:w="3260" w:type="dxa"/>
            <w:vAlign w:val="center"/>
          </w:tcPr>
          <w:p>
            <w:pPr>
              <w:widowControl/>
              <w:spacing w:line="288" w:lineRule="auto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cs="Times New Roman"/>
              </w:rPr>
              <w:t>Journal of the Chinese Chemical Society, 2020, 67: 1054-1061.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SCI</w:t>
            </w:r>
            <w:r>
              <w:rPr>
                <w:rFonts w:ascii="Times New Roman" w:hAnsi="Times New Roman" w:eastAsia="宋体" w:cs="Times New Roman"/>
              </w:rPr>
              <w:t>四区</w:t>
            </w:r>
          </w:p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B</w:t>
            </w:r>
            <w:r>
              <w:rPr>
                <w:rFonts w:hint="eastAsia" w:ascii="Times New Roman" w:hAnsi="Times New Roman" w:eastAsia="宋体" w:cs="Times New Roman"/>
              </w:rPr>
              <w:t>类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515" w:type="dxa"/>
            <w:tcBorders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71" w:type="dxa"/>
            <w:tcBorders>
              <w:lef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cs="Times New Roman"/>
              </w:rPr>
              <w:t>基于纳米</w:t>
            </w:r>
            <w:r>
              <w:rPr>
                <w:rFonts w:ascii="Times New Roman" w:hAnsi="Times New Roman" w:cs="Times New Roman"/>
              </w:rPr>
              <w:t>TiO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cs="Times New Roman"/>
              </w:rPr>
              <w:t>和金纳米星的光电化学适配体传感器检测</w:t>
            </w:r>
            <w:r>
              <w:rPr>
                <w:rFonts w:ascii="Times New Roman" w:hAnsi="Times New Roman" w:cs="Times New Roman"/>
              </w:rPr>
              <w:t>Hg</w:t>
            </w:r>
            <w:r>
              <w:rPr>
                <w:rFonts w:ascii="Times New Roman" w:hAnsi="Times New Roman" w:cs="Times New Roman"/>
                <w:vertAlign w:val="superscript"/>
              </w:rPr>
              <w:t>2+</w:t>
            </w:r>
            <w:r>
              <w:rPr>
                <w:rFonts w:ascii="Times New Roman" w:cs="Times New Roman"/>
              </w:rPr>
              <w:t>的研究</w:t>
            </w:r>
          </w:p>
        </w:tc>
        <w:tc>
          <w:tcPr>
            <w:tcW w:w="3260" w:type="dxa"/>
            <w:vAlign w:val="center"/>
          </w:tcPr>
          <w:p>
            <w:pPr>
              <w:widowControl/>
              <w:spacing w:line="288" w:lineRule="auto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cs="Times New Roman"/>
              </w:rPr>
              <w:t>分析科学学报</w:t>
            </w:r>
            <w:r>
              <w:rPr>
                <w:rFonts w:ascii="Times New Roman" w:hAnsi="Times New Roman" w:cs="Times New Roman"/>
              </w:rPr>
              <w:t>, 2020, 36(1): 116-121.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核心</w:t>
            </w:r>
          </w:p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C</w:t>
            </w:r>
            <w:r>
              <w:rPr>
                <w:rFonts w:hint="eastAsia" w:ascii="Times New Roman" w:hAnsi="Times New Roman" w:eastAsia="宋体" w:cs="Times New Roman"/>
              </w:rPr>
              <w:t>类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515" w:type="dxa"/>
            <w:tcBorders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71" w:type="dxa"/>
            <w:tcBorders>
              <w:lef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cs="Times New Roman"/>
              </w:rPr>
              <w:t>三磷酸腺苷在</w:t>
            </w:r>
            <w:r>
              <w:rPr>
                <w:rFonts w:ascii="Times New Roman" w:hAnsi="Times New Roman" w:cs="Times New Roman"/>
              </w:rPr>
              <w:t>TiO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cs="Times New Roman"/>
              </w:rPr>
              <w:t>掺杂碳纳米纤维修饰电极上的电化学行为</w:t>
            </w:r>
          </w:p>
        </w:tc>
        <w:tc>
          <w:tcPr>
            <w:tcW w:w="3260" w:type="dxa"/>
            <w:vAlign w:val="center"/>
          </w:tcPr>
          <w:p>
            <w:pPr>
              <w:widowControl/>
              <w:spacing w:line="288" w:lineRule="auto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cs="Times New Roman"/>
              </w:rPr>
              <w:t>分析试验室</w:t>
            </w:r>
            <w:r>
              <w:rPr>
                <w:rFonts w:ascii="Times New Roman" w:hAnsi="Times New Roman" w:cs="Times New Roman"/>
              </w:rPr>
              <w:t>, 2020, 39(1): 57-61.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核心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C</w:t>
            </w:r>
            <w:r>
              <w:rPr>
                <w:rFonts w:hint="eastAsia" w:ascii="Times New Roman" w:hAnsi="Times New Roman" w:eastAsia="宋体" w:cs="Times New Roman"/>
              </w:rPr>
              <w:t>类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515" w:type="dxa"/>
            <w:tcBorders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71" w:type="dxa"/>
            <w:tcBorders>
              <w:lef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宋体" w:cs="Times New Roman"/>
              </w:rPr>
              <w:t>Photoelectrochemical aptasensor for lead(II) by exploiting the CdS nanoparticle-assisted photoactivity of TiO</w:t>
            </w:r>
            <w:r>
              <w:rPr>
                <w:rFonts w:ascii="Times New Roman" w:hAnsi="Times New Roman" w:eastAsia="宋体" w:cs="Times New Roman"/>
                <w:vertAlign w:val="subscript"/>
              </w:rPr>
              <w:t>2</w:t>
            </w:r>
            <w:r>
              <w:rPr>
                <w:rFonts w:ascii="Times New Roman" w:hAnsi="Times New Roman" w:eastAsia="宋体" w:cs="Times New Roman"/>
              </w:rPr>
              <w:t xml:space="preserve"> nanoparticles and by using the quercetin-copper(II) complex as the DNA intercalator</w:t>
            </w:r>
          </w:p>
        </w:tc>
        <w:tc>
          <w:tcPr>
            <w:tcW w:w="3260" w:type="dxa"/>
            <w:vAlign w:val="center"/>
          </w:tcPr>
          <w:p>
            <w:pPr>
              <w:widowControl/>
              <w:spacing w:line="28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Microchimica Acta, 2019, 186: 826-833.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SCI</w:t>
            </w:r>
            <w:r>
              <w:rPr>
                <w:rFonts w:ascii="Times New Roman" w:hAnsi="Times New Roman" w:eastAsia="宋体" w:cs="Times New Roman"/>
              </w:rPr>
              <w:t>二区</w:t>
            </w:r>
          </w:p>
          <w:p>
            <w:pPr>
              <w:widowControl/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A</w:t>
            </w:r>
            <w:r>
              <w:rPr>
                <w:rFonts w:hint="eastAsia" w:ascii="Times New Roman" w:hAnsi="Times New Roman" w:eastAsia="宋体" w:cs="Times New Roman"/>
              </w:rPr>
              <w:t>类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515" w:type="dxa"/>
            <w:tcBorders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171" w:type="dxa"/>
            <w:tcBorders>
              <w:lef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Electrochemical performance of myoglobin based on TiO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>-doped carbon nanofiber decorated electrode and its applications in biosensing</w:t>
            </w:r>
          </w:p>
        </w:tc>
        <w:tc>
          <w:tcPr>
            <w:tcW w:w="3260" w:type="dxa"/>
            <w:vAlign w:val="center"/>
          </w:tcPr>
          <w:p>
            <w:pPr>
              <w:widowControl/>
              <w:spacing w:line="28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宋体" w:cs="Times New Roman"/>
                <w:lang w:val="es-UY"/>
              </w:rPr>
              <w:t>RSC Advances, 2019, 9</w:t>
            </w:r>
            <w:r>
              <w:rPr>
                <w:rFonts w:ascii="Times New Roman" w:hAnsi="Times New Roman" w:cs="Times New Roman"/>
                <w:lang w:val="es-UY"/>
              </w:rPr>
              <w:t>: 4480-4487.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SCI</w:t>
            </w:r>
            <w:r>
              <w:rPr>
                <w:rFonts w:hint="eastAsia" w:ascii="Times New Roman" w:hAnsi="Times New Roman" w:cs="Times New Roman"/>
              </w:rPr>
              <w:t>三区</w:t>
            </w:r>
          </w:p>
          <w:p>
            <w:pPr>
              <w:widowControl/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B</w:t>
            </w:r>
            <w:r>
              <w:rPr>
                <w:rFonts w:hint="eastAsia" w:ascii="Times New Roman" w:hAnsi="Times New Roman" w:cs="Times New Roman"/>
              </w:rPr>
              <w:t>类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515" w:type="dxa"/>
            <w:tcBorders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171" w:type="dxa"/>
            <w:tcBorders>
              <w:lef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 direct electron transfer biosensor based on a horseradish peroxidase and gold nanotriangle modified electrode and electrocatalysis</w:t>
            </w:r>
          </w:p>
        </w:tc>
        <w:tc>
          <w:tcPr>
            <w:tcW w:w="3260" w:type="dxa"/>
            <w:vAlign w:val="center"/>
          </w:tcPr>
          <w:p>
            <w:pPr>
              <w:widowControl/>
              <w:spacing w:line="28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Analytical Methods, 2018, 10: 5297-5304.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SCI</w:t>
            </w:r>
            <w:r>
              <w:rPr>
                <w:rFonts w:hint="eastAsia" w:ascii="Times New Roman" w:hAnsi="Times New Roman" w:cs="Times New Roman"/>
              </w:rPr>
              <w:t>三区</w:t>
            </w:r>
          </w:p>
          <w:p>
            <w:pPr>
              <w:widowControl/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B</w:t>
            </w:r>
            <w:r>
              <w:rPr>
                <w:rFonts w:hint="eastAsia" w:ascii="Times New Roman" w:hAnsi="Times New Roman" w:cs="Times New Roman"/>
              </w:rPr>
              <w:t>类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515" w:type="dxa"/>
            <w:tcBorders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71" w:type="dxa"/>
            <w:tcBorders>
              <w:lef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Electrochemical behavior of horseradish peroxidase on WS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nanosheet-modified electrode and electrocatalytic investigation</w:t>
            </w:r>
          </w:p>
        </w:tc>
        <w:tc>
          <w:tcPr>
            <w:tcW w:w="3260" w:type="dxa"/>
            <w:vAlign w:val="center"/>
          </w:tcPr>
          <w:p>
            <w:pPr>
              <w:widowControl/>
              <w:spacing w:line="28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Journal of the Chinese Chemical Society, 2018, 65: 1127-1135.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SCI</w:t>
            </w:r>
            <w:r>
              <w:rPr>
                <w:rFonts w:ascii="Times New Roman" w:hAnsi="Times New Roman" w:eastAsia="宋体" w:cs="Times New Roman"/>
              </w:rPr>
              <w:t>四区</w:t>
            </w:r>
          </w:p>
          <w:p>
            <w:pPr>
              <w:widowControl/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B</w:t>
            </w:r>
            <w:r>
              <w:rPr>
                <w:rFonts w:hint="eastAsia" w:ascii="Times New Roman" w:hAnsi="Times New Roman" w:eastAsia="宋体" w:cs="Times New Roman"/>
              </w:rPr>
              <w:t>类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515" w:type="dxa"/>
            <w:tcBorders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171" w:type="dxa"/>
            <w:tcBorders>
              <w:lef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密度泛函理论辅助研究大黄素型蒽醌化合物电喷雾质谱的裂解过程</w:t>
            </w:r>
          </w:p>
        </w:tc>
        <w:tc>
          <w:tcPr>
            <w:tcW w:w="3260" w:type="dxa"/>
            <w:vAlign w:val="center"/>
          </w:tcPr>
          <w:p>
            <w:pPr>
              <w:widowControl/>
              <w:spacing w:line="28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分析科学学报, 2017, 33 (3): 367-372.</w:t>
            </w:r>
            <w:bookmarkStart w:id="0" w:name="_GoBack"/>
            <w:bookmarkEnd w:id="0"/>
          </w:p>
        </w:tc>
        <w:tc>
          <w:tcPr>
            <w:tcW w:w="709" w:type="dxa"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宋体" w:cs="Times New Roman"/>
              </w:rPr>
              <w:t>核心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C</w:t>
            </w:r>
            <w:r>
              <w:rPr>
                <w:rFonts w:hint="eastAsia" w:ascii="Times New Roman" w:hAnsi="Times New Roman" w:eastAsia="宋体" w:cs="Times New Roman"/>
              </w:rPr>
              <w:t>类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515" w:type="dxa"/>
            <w:tcBorders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171" w:type="dxa"/>
            <w:tcBorders>
              <w:lef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基于密度泛函理论的橘霉素衍生物质谱裂解行为研究</w:t>
            </w:r>
          </w:p>
        </w:tc>
        <w:tc>
          <w:tcPr>
            <w:tcW w:w="3260" w:type="dxa"/>
            <w:vAlign w:val="center"/>
          </w:tcPr>
          <w:p>
            <w:pPr>
              <w:widowControl/>
              <w:spacing w:line="28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分析科学学报, 2016, 32 (6): 841-845.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宋体" w:cs="Times New Roman"/>
              </w:rPr>
              <w:t>核心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C</w:t>
            </w:r>
            <w:r>
              <w:rPr>
                <w:rFonts w:hint="eastAsia" w:ascii="Times New Roman" w:hAnsi="Times New Roman" w:eastAsia="宋体" w:cs="Times New Roman"/>
              </w:rPr>
              <w:t>类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515" w:type="dxa"/>
            <w:tcBorders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171" w:type="dxa"/>
            <w:tcBorders>
              <w:lef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电喷雾质谱技术在中药分析中的应用</w:t>
            </w:r>
          </w:p>
        </w:tc>
        <w:tc>
          <w:tcPr>
            <w:tcW w:w="3260" w:type="dxa"/>
            <w:vAlign w:val="center"/>
          </w:tcPr>
          <w:p>
            <w:pPr>
              <w:widowControl/>
              <w:spacing w:line="28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广州化工, 2016, 44 (5): 11-13.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pacing w:line="288" w:lineRule="auto"/>
              <w:jc w:val="center"/>
              <w:rPr>
                <w:rFonts w:hint="eastAsia" w:ascii="Times New Roman" w:hAnsi="Times New Roman" w:cs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</w:rPr>
              <w:t>省级</w:t>
            </w:r>
            <w:r>
              <w:rPr>
                <w:rFonts w:hint="eastAsia" w:ascii="Times New Roman" w:hAnsi="Times New Roman" w:cs="Times New Roman"/>
                <w:lang w:val="en-US" w:eastAsia="zh-CN"/>
              </w:rPr>
              <w:t>D类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515" w:type="dxa"/>
            <w:tcBorders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171" w:type="dxa"/>
            <w:tcBorders>
              <w:lef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尖瓣海莲叶内生真菌Penicillium sp. B21代谢产物挥发油成分及抑菌活性</w:t>
            </w:r>
          </w:p>
        </w:tc>
        <w:tc>
          <w:tcPr>
            <w:tcW w:w="3260" w:type="dxa"/>
            <w:vAlign w:val="center"/>
          </w:tcPr>
          <w:p>
            <w:pPr>
              <w:widowControl/>
              <w:spacing w:line="28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中国实验方剂学杂志, 2016, 22 (14): 70-73.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宋体" w:cs="Times New Roman"/>
              </w:rPr>
              <w:t>核心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C</w:t>
            </w:r>
            <w:r>
              <w:rPr>
                <w:rFonts w:hint="eastAsia" w:ascii="Times New Roman" w:hAnsi="Times New Roman" w:eastAsia="宋体" w:cs="Times New Roman"/>
              </w:rPr>
              <w:t>类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515" w:type="dxa"/>
            <w:tcBorders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171" w:type="dxa"/>
            <w:tcBorders>
              <w:lef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气质联用法鉴别柳叶润楠叶挥发油中化学成分</w:t>
            </w:r>
          </w:p>
        </w:tc>
        <w:tc>
          <w:tcPr>
            <w:tcW w:w="3260" w:type="dxa"/>
            <w:vAlign w:val="center"/>
          </w:tcPr>
          <w:p>
            <w:pPr>
              <w:widowControl/>
              <w:spacing w:line="28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中国实验方剂学杂志, 2013, 19 (23): 79-82.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宋体" w:cs="Times New Roman"/>
              </w:rPr>
              <w:t>核心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C</w:t>
            </w:r>
            <w:r>
              <w:rPr>
                <w:rFonts w:hint="eastAsia" w:ascii="Times New Roman" w:hAnsi="Times New Roman" w:eastAsia="宋体" w:cs="Times New Roman"/>
              </w:rPr>
              <w:t>类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515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171" w:type="dxa"/>
          </w:tcPr>
          <w:p>
            <w:pPr>
              <w:spacing w:line="288" w:lineRule="auto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cs="Times New Roman"/>
              </w:rPr>
              <w:t>仪器分析实验课程教学设计</w:t>
            </w:r>
            <w:r>
              <w:rPr>
                <w:rFonts w:ascii="Times New Roman" w:hAnsi="Times New Roman" w:cs="Times New Roman"/>
              </w:rPr>
              <w:t>—</w:t>
            </w:r>
            <w:r>
              <w:rPr>
                <w:rFonts w:ascii="Times New Roman" w:cs="Times New Roman"/>
              </w:rPr>
              <w:t>以高效液相色谱分析为例</w:t>
            </w:r>
          </w:p>
        </w:tc>
        <w:tc>
          <w:tcPr>
            <w:tcW w:w="3260" w:type="dxa"/>
            <w:vAlign w:val="center"/>
          </w:tcPr>
          <w:p>
            <w:pPr>
              <w:widowControl/>
              <w:spacing w:line="288" w:lineRule="auto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cs="Times New Roman"/>
              </w:rPr>
              <w:t>化工高等教育</w:t>
            </w:r>
            <w:r>
              <w:rPr>
                <w:rFonts w:ascii="Times New Roman" w:hAnsi="Times New Roman" w:cs="Times New Roman"/>
              </w:rPr>
              <w:t>, 2020, (4): 125-128.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  <w:lang w:eastAsia="zh-CN"/>
              </w:rPr>
              <w:t>省级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D</w:t>
            </w:r>
            <w:r>
              <w:rPr>
                <w:rFonts w:hint="eastAsia" w:ascii="Times New Roman" w:hAnsi="Times New Roman" w:eastAsia="宋体" w:cs="Times New Roman"/>
              </w:rPr>
              <w:t>类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1276" w:type="dxa"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515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171" w:type="dxa"/>
          </w:tcPr>
          <w:p>
            <w:pPr>
              <w:spacing w:line="28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地方师范院校大型精密仪器的管理和维护方案及对策分析</w:t>
            </w:r>
          </w:p>
        </w:tc>
        <w:tc>
          <w:tcPr>
            <w:tcW w:w="3260" w:type="dxa"/>
            <w:vAlign w:val="center"/>
          </w:tcPr>
          <w:p>
            <w:pPr>
              <w:widowControl/>
              <w:spacing w:line="28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山东化工, 2018, 47 (22): 166-167.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省级</w:t>
            </w:r>
            <w:r>
              <w:rPr>
                <w:rFonts w:hint="eastAsia" w:ascii="Times New Roman" w:hAnsi="Times New Roman" w:cs="Times New Roman"/>
                <w:lang w:val="en-US" w:eastAsia="zh-CN"/>
              </w:rPr>
              <w:t>D类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15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171" w:type="dxa"/>
          </w:tcPr>
          <w:p>
            <w:pPr>
              <w:spacing w:line="28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大学化学实验改革及创新型人才培养探索</w:t>
            </w:r>
          </w:p>
        </w:tc>
        <w:tc>
          <w:tcPr>
            <w:tcW w:w="3260" w:type="dxa"/>
            <w:vAlign w:val="center"/>
          </w:tcPr>
          <w:p>
            <w:pPr>
              <w:widowControl/>
              <w:spacing w:line="28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广州化工, 2017, 45 (15): 216-217.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省级</w:t>
            </w:r>
            <w:r>
              <w:rPr>
                <w:rFonts w:hint="eastAsia" w:ascii="Times New Roman" w:hAnsi="Times New Roman" w:cs="Times New Roman"/>
                <w:lang w:val="en-US" w:eastAsia="zh-CN"/>
              </w:rPr>
              <w:t>D类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有</w:t>
            </w:r>
          </w:p>
        </w:tc>
      </w:tr>
    </w:tbl>
    <w:p>
      <w:pPr>
        <w:widowControl/>
        <w:jc w:val="left"/>
      </w:pPr>
      <w:r>
        <w:br w:type="page"/>
      </w:r>
    </w:p>
    <w:tbl>
      <w:tblPr>
        <w:tblStyle w:val="6"/>
        <w:tblpPr w:leftFromText="180" w:rightFromText="180" w:vertAnchor="text" w:horzAnchor="page" w:tblpX="1236" w:tblpY="185"/>
        <w:tblOverlap w:val="never"/>
        <w:tblW w:w="974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4"/>
        <w:gridCol w:w="2277"/>
        <w:gridCol w:w="655"/>
        <w:gridCol w:w="1058"/>
        <w:gridCol w:w="1276"/>
        <w:gridCol w:w="851"/>
        <w:gridCol w:w="1134"/>
        <w:gridCol w:w="992"/>
        <w:gridCol w:w="85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70" w:hRule="atLeast"/>
        </w:trPr>
        <w:tc>
          <w:tcPr>
            <w:tcW w:w="9747" w:type="dxa"/>
            <w:gridSpan w:val="9"/>
            <w:vAlign w:val="center"/>
          </w:tcPr>
          <w:p>
            <w:pPr>
              <w:jc w:val="center"/>
              <w:rPr>
                <w:rFonts w:eastAsia="宋体"/>
              </w:rPr>
            </w:pPr>
            <w:r>
              <w:rPr>
                <w:rFonts w:hint="eastAsia"/>
                <w:b/>
                <w:bCs/>
              </w:rPr>
              <w:t>任选条件之</w:t>
            </w:r>
            <w:r>
              <w:rPr>
                <w:rFonts w:hint="eastAsia"/>
                <w:b/>
                <w:bCs/>
              </w:rPr>
              <w:fldChar w:fldCharType="begin"/>
            </w:r>
            <w:r>
              <w:rPr>
                <w:rFonts w:hint="eastAsia"/>
                <w:b/>
                <w:bCs/>
              </w:rPr>
              <w:instrText xml:space="preserve"> = 1 \* GB3 </w:instrText>
            </w:r>
            <w:r>
              <w:rPr>
                <w:rFonts w:hint="eastAsia"/>
                <w:b/>
                <w:bCs/>
              </w:rPr>
              <w:fldChar w:fldCharType="separate"/>
            </w:r>
            <w:r>
              <w:rPr>
                <w:rFonts w:hint="eastAsia"/>
                <w:b/>
                <w:bCs/>
              </w:rPr>
              <w:t>①</w:t>
            </w:r>
            <w:r>
              <w:rPr>
                <w:rFonts w:hint="eastAsia"/>
                <w:b/>
                <w:bCs/>
              </w:rPr>
              <w:fldChar w:fldCharType="end"/>
            </w:r>
            <w:r>
              <w:rPr>
                <w:rFonts w:hint="eastAsia"/>
                <w:b/>
                <w:bCs/>
              </w:rPr>
              <w:t xml:space="preserve"> 出版学术著作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rPr>
                <w:rFonts w:eastAsia="宋体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2277" w:type="dxa"/>
            <w:tcBorders>
              <w:left w:val="single" w:color="auto" w:sz="4" w:space="0"/>
            </w:tcBorders>
            <w:vAlign w:val="center"/>
          </w:tcPr>
          <w:p>
            <w:pPr>
              <w:ind w:firstLine="840" w:firstLineChars="400"/>
            </w:pPr>
            <w:r>
              <w:rPr>
                <w:rFonts w:hint="eastAsia"/>
              </w:rPr>
              <w:t>成果名称</w:t>
            </w:r>
          </w:p>
        </w:tc>
        <w:tc>
          <w:tcPr>
            <w:tcW w:w="655" w:type="dxa"/>
            <w:vAlign w:val="center"/>
          </w:tcPr>
          <w:p>
            <w:pPr>
              <w:rPr>
                <w:rFonts w:eastAsia="宋体"/>
              </w:rPr>
            </w:pPr>
            <w:r>
              <w:rPr>
                <w:rFonts w:hint="eastAsia"/>
              </w:rPr>
              <w:t>类别</w:t>
            </w:r>
          </w:p>
        </w:tc>
        <w:tc>
          <w:tcPr>
            <w:tcW w:w="1058" w:type="dxa"/>
            <w:vAlign w:val="center"/>
          </w:tcPr>
          <w:p>
            <w:r>
              <w:rPr>
                <w:rFonts w:hint="eastAsia"/>
              </w:rPr>
              <w:t>合（独）著译及排名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eastAsia="宋体"/>
              </w:rPr>
            </w:pPr>
            <w:r>
              <w:rPr>
                <w:rFonts w:hint="eastAsia"/>
              </w:rPr>
              <w:t>出版社和出版时间</w:t>
            </w:r>
          </w:p>
        </w:tc>
        <w:tc>
          <w:tcPr>
            <w:tcW w:w="851" w:type="dxa"/>
            <w:tcBorders>
              <w:right w:val="single" w:color="auto" w:sz="4" w:space="0"/>
            </w:tcBorders>
            <w:vAlign w:val="center"/>
          </w:tcPr>
          <w:p>
            <w:pPr>
              <w:rPr>
                <w:rFonts w:eastAsia="宋体"/>
              </w:rPr>
            </w:pPr>
            <w:r>
              <w:rPr>
                <w:rFonts w:hint="eastAsia"/>
              </w:rPr>
              <w:t>CIP核字号</w:t>
            </w: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总字数（万字）</w:t>
            </w:r>
          </w:p>
        </w:tc>
        <w:tc>
          <w:tcPr>
            <w:tcW w:w="992" w:type="dxa"/>
            <w:vAlign w:val="center"/>
          </w:tcPr>
          <w:p>
            <w:r>
              <w:rPr>
                <w:rFonts w:hint="eastAsia"/>
              </w:rPr>
              <w:t>个人撰</w:t>
            </w:r>
          </w:p>
          <w:p>
            <w:pPr>
              <w:rPr>
                <w:rFonts w:eastAsia="宋体"/>
              </w:rPr>
            </w:pPr>
            <w:r>
              <w:rPr>
                <w:rFonts w:hint="eastAsia"/>
              </w:rPr>
              <w:t>写字数（万字）</w:t>
            </w:r>
          </w:p>
        </w:tc>
        <w:tc>
          <w:tcPr>
            <w:tcW w:w="850" w:type="dxa"/>
            <w:vAlign w:val="center"/>
          </w:tcPr>
          <w:p>
            <w:pPr>
              <w:rPr>
                <w:rFonts w:eastAsia="宋体"/>
              </w:rPr>
            </w:pPr>
            <w:r>
              <w:rPr>
                <w:rFonts w:hint="eastAsia"/>
              </w:rPr>
              <w:t>检索页（有或无）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277" w:type="dxa"/>
            <w:tcBorders>
              <w:lef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/>
              </w:rPr>
              <w:t>橡塑助剂生产工艺与技术</w:t>
            </w:r>
          </w:p>
        </w:tc>
        <w:tc>
          <w:tcPr>
            <w:tcW w:w="655" w:type="dxa"/>
            <w:vAlign w:val="center"/>
          </w:tcPr>
          <w:p>
            <w:pPr>
              <w:jc w:val="center"/>
              <w:rPr>
                <w:rFonts w:hint="eastAsia" w:ascii="Times New Roman" w:hAnsi="Times New Roman" w:eastAsiaTheme="minorEastAsia"/>
                <w:lang w:eastAsia="zh-CN"/>
              </w:rPr>
            </w:pPr>
            <w:r>
              <w:rPr>
                <w:rFonts w:hint="eastAsia" w:ascii="Times New Roman" w:hAnsi="Times New Roman"/>
                <w:lang w:eastAsia="zh-CN"/>
              </w:rPr>
              <w:t>编著</w:t>
            </w:r>
          </w:p>
        </w:tc>
        <w:tc>
          <w:tcPr>
            <w:tcW w:w="1058" w:type="dxa"/>
            <w:vAlign w:val="center"/>
          </w:tcPr>
          <w:p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/>
              </w:rPr>
              <w:t>合著，</w:t>
            </w:r>
            <w:r>
              <w:rPr>
                <w:rFonts w:hint="eastAsia" w:ascii="Times New Roman"/>
              </w:rPr>
              <w:t>排名</w:t>
            </w:r>
            <w:r>
              <w:rPr>
                <w:rFonts w:ascii="Times New Roman"/>
              </w:rPr>
              <w:t>第五</w:t>
            </w:r>
          </w:p>
        </w:tc>
        <w:tc>
          <w:tcPr>
            <w:tcW w:w="1276" w:type="dxa"/>
            <w:vAlign w:val="center"/>
          </w:tcPr>
          <w:p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/>
              </w:rPr>
              <w:t>科学技术文献出版社，</w:t>
            </w:r>
            <w:r>
              <w:rPr>
                <w:rFonts w:ascii="Times New Roman" w:hAnsi="Times New Roman"/>
              </w:rPr>
              <w:t>2015</w:t>
            </w:r>
          </w:p>
        </w:tc>
        <w:tc>
          <w:tcPr>
            <w:tcW w:w="851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2015</w:t>
            </w:r>
            <w:r>
              <w:rPr>
                <w:rFonts w:ascii="Times New Roman" w:hAnsi="Times New Roman"/>
              </w:rPr>
              <w:t>197137</w:t>
            </w: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67.8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10.2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有</w:t>
            </w:r>
          </w:p>
        </w:tc>
      </w:tr>
    </w:tbl>
    <w:p/>
    <w:tbl>
      <w:tblPr>
        <w:tblStyle w:val="6"/>
        <w:tblpPr w:leftFromText="180" w:rightFromText="180" w:vertAnchor="text" w:horzAnchor="page" w:tblpX="1242" w:tblpY="185"/>
        <w:tblOverlap w:val="never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2236"/>
        <w:gridCol w:w="1200"/>
        <w:gridCol w:w="1882"/>
        <w:gridCol w:w="1077"/>
        <w:gridCol w:w="928"/>
        <w:gridCol w:w="897"/>
        <w:gridCol w:w="85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747" w:type="dxa"/>
            <w:gridSpan w:val="8"/>
            <w:vAlign w:val="center"/>
          </w:tcPr>
          <w:p>
            <w:pPr>
              <w:ind w:firstLine="3373" w:firstLineChars="1600"/>
              <w:rPr>
                <w:rFonts w:eastAsia="宋体"/>
              </w:rPr>
            </w:pPr>
            <w:r>
              <w:rPr>
                <w:rFonts w:hint="eastAsia"/>
                <w:b/>
                <w:bCs/>
              </w:rPr>
              <w:t>任选条件之</w:t>
            </w:r>
            <w:r>
              <w:rPr>
                <w:rFonts w:hint="eastAsia"/>
                <w:b/>
                <w:bCs/>
              </w:rPr>
              <w:fldChar w:fldCharType="begin"/>
            </w:r>
            <w:r>
              <w:rPr>
                <w:rFonts w:hint="eastAsia"/>
                <w:b/>
                <w:bCs/>
              </w:rPr>
              <w:instrText xml:space="preserve"> = 2 \* GB3 </w:instrText>
            </w:r>
            <w:r>
              <w:rPr>
                <w:rFonts w:hint="eastAsia"/>
                <w:b/>
                <w:bCs/>
              </w:rPr>
              <w:fldChar w:fldCharType="separate"/>
            </w:r>
            <w:r>
              <w:rPr>
                <w:rFonts w:hint="eastAsia"/>
                <w:b/>
                <w:bCs/>
              </w:rPr>
              <w:t>②</w:t>
            </w:r>
            <w:r>
              <w:rPr>
                <w:rFonts w:hint="eastAsia"/>
                <w:b/>
                <w:bCs/>
              </w:rPr>
              <w:fldChar w:fldCharType="end"/>
            </w:r>
            <w:r>
              <w:rPr>
                <w:rFonts w:hint="eastAsia"/>
                <w:b/>
                <w:bCs/>
              </w:rPr>
              <w:t xml:space="preserve"> 科研成果奖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223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获奖成果名称</w:t>
            </w:r>
          </w:p>
        </w:tc>
        <w:tc>
          <w:tcPr>
            <w:tcW w:w="1200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成果类别</w:t>
            </w:r>
          </w:p>
        </w:tc>
        <w:tc>
          <w:tcPr>
            <w:tcW w:w="1882" w:type="dxa"/>
            <w:tcBorders>
              <w:right w:val="single" w:color="auto" w:sz="4" w:space="0"/>
            </w:tcBorders>
            <w:vAlign w:val="center"/>
          </w:tcPr>
          <w:p>
            <w:pPr>
              <w:ind w:firstLine="210" w:firstLineChars="100"/>
              <w:rPr>
                <w:rFonts w:eastAsia="宋体"/>
              </w:rPr>
            </w:pPr>
            <w:r>
              <w:rPr>
                <w:rFonts w:hint="eastAsia"/>
              </w:rPr>
              <w:t>奖励名称</w:t>
            </w:r>
          </w:p>
        </w:tc>
        <w:tc>
          <w:tcPr>
            <w:tcW w:w="1077" w:type="dxa"/>
            <w:tcBorders>
              <w:left w:val="single" w:color="auto" w:sz="4" w:space="0"/>
            </w:tcBorders>
            <w:vAlign w:val="center"/>
          </w:tcPr>
          <w:p>
            <w:pPr>
              <w:rPr>
                <w:rFonts w:eastAsia="宋体"/>
              </w:rPr>
            </w:pPr>
            <w:r>
              <w:rPr>
                <w:rFonts w:hint="eastAsia"/>
              </w:rPr>
              <w:t>获奖等级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获奖</w:t>
            </w:r>
          </w:p>
          <w:p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89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第几</w:t>
            </w:r>
          </w:p>
          <w:p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完成人</w:t>
            </w:r>
          </w:p>
        </w:tc>
        <w:tc>
          <w:tcPr>
            <w:tcW w:w="852" w:type="dxa"/>
            <w:vAlign w:val="center"/>
          </w:tcPr>
          <w:p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  <w:p>
            <w:pPr>
              <w:jc w:val="center"/>
            </w:pPr>
          </w:p>
        </w:tc>
        <w:tc>
          <w:tcPr>
            <w:tcW w:w="223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200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88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077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928" w:type="dxa"/>
            <w:vAlign w:val="center"/>
          </w:tcPr>
          <w:p>
            <w:pPr>
              <w:jc w:val="center"/>
            </w:pPr>
          </w:p>
        </w:tc>
        <w:tc>
          <w:tcPr>
            <w:tcW w:w="897" w:type="dxa"/>
            <w:vAlign w:val="center"/>
          </w:tcPr>
          <w:p>
            <w:pPr>
              <w:jc w:val="center"/>
            </w:pPr>
          </w:p>
        </w:tc>
        <w:tc>
          <w:tcPr>
            <w:tcW w:w="852" w:type="dxa"/>
            <w:vAlign w:val="center"/>
          </w:tcPr>
          <w:p>
            <w:pPr>
              <w:jc w:val="center"/>
            </w:pPr>
          </w:p>
        </w:tc>
      </w:tr>
    </w:tbl>
    <w:p/>
    <w:p/>
    <w:tbl>
      <w:tblPr>
        <w:tblStyle w:val="6"/>
        <w:tblW w:w="9781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3523"/>
        <w:gridCol w:w="1639"/>
        <w:gridCol w:w="1063"/>
        <w:gridCol w:w="928"/>
        <w:gridCol w:w="1091"/>
        <w:gridCol w:w="9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73" w:hRule="atLeast"/>
        </w:trPr>
        <w:tc>
          <w:tcPr>
            <w:tcW w:w="9781" w:type="dxa"/>
            <w:gridSpan w:val="7"/>
            <w:vAlign w:val="center"/>
          </w:tcPr>
          <w:p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/>
                <w:b/>
                <w:bCs/>
              </w:rPr>
              <w:t xml:space="preserve"> 任选条件之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③</w:t>
            </w:r>
            <w:r>
              <w:rPr>
                <w:rFonts w:hint="eastAsia"/>
                <w:b/>
                <w:bCs/>
              </w:rPr>
              <w:t xml:space="preserve"> 社会服务效益（经费）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vAlign w:val="center"/>
          </w:tcPr>
          <w:p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352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项目（成果）名称</w:t>
            </w:r>
          </w:p>
        </w:tc>
        <w:tc>
          <w:tcPr>
            <w:tcW w:w="163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项目来源</w:t>
            </w:r>
          </w:p>
        </w:tc>
        <w:tc>
          <w:tcPr>
            <w:tcW w:w="1063" w:type="dxa"/>
            <w:vAlign w:val="center"/>
          </w:tcPr>
          <w:p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时间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是否</w:t>
            </w:r>
          </w:p>
          <w:p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主持</w:t>
            </w:r>
          </w:p>
        </w:tc>
        <w:tc>
          <w:tcPr>
            <w:tcW w:w="1091" w:type="dxa"/>
            <w:vAlign w:val="center"/>
          </w:tcPr>
          <w:p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到账经费（万元）</w:t>
            </w:r>
          </w:p>
        </w:tc>
        <w:tc>
          <w:tcPr>
            <w:tcW w:w="970" w:type="dxa"/>
            <w:vAlign w:val="center"/>
          </w:tcPr>
          <w:p>
            <w:pPr>
              <w:rPr>
                <w:rFonts w:eastAsia="宋体"/>
              </w:rPr>
            </w:pPr>
            <w:r>
              <w:rPr>
                <w:rFonts w:hint="eastAsia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vAlign w:val="center"/>
          </w:tcPr>
          <w:p/>
          <w:p/>
        </w:tc>
        <w:tc>
          <w:tcPr>
            <w:tcW w:w="3523" w:type="dxa"/>
            <w:vAlign w:val="center"/>
          </w:tcPr>
          <w:p/>
        </w:tc>
        <w:tc>
          <w:tcPr>
            <w:tcW w:w="1639" w:type="dxa"/>
            <w:vAlign w:val="center"/>
          </w:tcPr>
          <w:p/>
        </w:tc>
        <w:tc>
          <w:tcPr>
            <w:tcW w:w="1063" w:type="dxa"/>
            <w:vAlign w:val="center"/>
          </w:tcPr>
          <w:p/>
        </w:tc>
        <w:tc>
          <w:tcPr>
            <w:tcW w:w="928" w:type="dxa"/>
            <w:vAlign w:val="center"/>
          </w:tcPr>
          <w:p/>
        </w:tc>
        <w:tc>
          <w:tcPr>
            <w:tcW w:w="1091" w:type="dxa"/>
            <w:vAlign w:val="center"/>
          </w:tcPr>
          <w:p/>
        </w:tc>
        <w:tc>
          <w:tcPr>
            <w:tcW w:w="970" w:type="dxa"/>
            <w:vAlign w:val="center"/>
          </w:tcPr>
          <w:p/>
        </w:tc>
      </w:tr>
    </w:tbl>
    <w:p/>
    <w:p/>
    <w:tbl>
      <w:tblPr>
        <w:tblStyle w:val="6"/>
        <w:tblW w:w="9781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5"/>
        <w:gridCol w:w="3095"/>
        <w:gridCol w:w="2110"/>
        <w:gridCol w:w="1276"/>
        <w:gridCol w:w="1418"/>
        <w:gridCol w:w="14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9781" w:type="dxa"/>
            <w:gridSpan w:val="6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  <w:b/>
                <w:bCs/>
              </w:rPr>
              <w:t>任选条件之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fldChar w:fldCharType="begin"/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instrText xml:space="preserve"> </w:instrTex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instrText xml:space="preserve">= 4 \* GB3</w:instrTex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instrText xml:space="preserve"> </w:instrTex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fldChar w:fldCharType="separate"/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④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fldChar w:fldCharType="end"/>
            </w:r>
            <w:r>
              <w:rPr>
                <w:rFonts w:hint="eastAsia"/>
                <w:b/>
                <w:bCs/>
              </w:rPr>
              <w:t>获授权国家发明专利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465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3095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授权专利名称</w:t>
            </w:r>
          </w:p>
        </w:tc>
        <w:tc>
          <w:tcPr>
            <w:tcW w:w="2110" w:type="dxa"/>
            <w:vAlign w:val="center"/>
          </w:tcPr>
          <w:p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专利授权号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专利类别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第几发明人</w:t>
            </w:r>
          </w:p>
        </w:tc>
        <w:tc>
          <w:tcPr>
            <w:tcW w:w="1417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授权时间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465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095" w:type="dxa"/>
            <w:tcBorders>
              <w:lef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纳米金-生物质碳复合材料修饰电极及其在木犀草素检测中的应用</w:t>
            </w:r>
          </w:p>
        </w:tc>
        <w:tc>
          <w:tcPr>
            <w:tcW w:w="211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ZL 201810261884.4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发明专利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第一发明人</w:t>
            </w:r>
          </w:p>
        </w:tc>
        <w:tc>
          <w:tcPr>
            <w:tcW w:w="1417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2019.10.22.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465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95" w:type="dxa"/>
            <w:tcBorders>
              <w:lef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cs="Times New Roman"/>
              </w:rPr>
              <w:t>一种基于静电纺丝技术制备TiO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>-碳纤维复合材料的方法及修饰电极的制备与应用</w:t>
            </w:r>
          </w:p>
        </w:tc>
        <w:tc>
          <w:tcPr>
            <w:tcW w:w="211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cs="Times New Roman"/>
              </w:rPr>
              <w:t>ZL 201810525501.X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发明专利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第一发明人</w:t>
            </w:r>
          </w:p>
        </w:tc>
        <w:tc>
          <w:tcPr>
            <w:tcW w:w="1417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2020.04.21.</w:t>
            </w:r>
          </w:p>
        </w:tc>
      </w:tr>
    </w:tbl>
    <w:p/>
    <w:p/>
    <w:tbl>
      <w:tblPr>
        <w:tblStyle w:val="6"/>
        <w:tblW w:w="9781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5"/>
        <w:gridCol w:w="3095"/>
        <w:gridCol w:w="2633"/>
        <w:gridCol w:w="1133"/>
        <w:gridCol w:w="1389"/>
        <w:gridCol w:w="106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9781" w:type="dxa"/>
            <w:gridSpan w:val="6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  <w:b/>
                <w:bCs/>
              </w:rPr>
              <w:t>任选条件之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 xml:space="preserve">⑤ </w:t>
            </w:r>
            <w:r>
              <w:rPr>
                <w:rFonts w:hint="eastAsia"/>
                <w:b/>
                <w:bCs/>
              </w:rPr>
              <w:t>研究报告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465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3095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报告名称</w:t>
            </w:r>
          </w:p>
        </w:tc>
        <w:tc>
          <w:tcPr>
            <w:tcW w:w="2633" w:type="dxa"/>
            <w:vAlign w:val="center"/>
          </w:tcPr>
          <w:p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采纳部门（或领导批示）</w:t>
            </w:r>
          </w:p>
        </w:tc>
        <w:tc>
          <w:tcPr>
            <w:tcW w:w="1133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采纳时间</w:t>
            </w:r>
          </w:p>
        </w:tc>
        <w:tc>
          <w:tcPr>
            <w:tcW w:w="1389" w:type="dxa"/>
            <w:vAlign w:val="center"/>
          </w:tcPr>
          <w:p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级别</w:t>
            </w:r>
          </w:p>
        </w:tc>
        <w:tc>
          <w:tcPr>
            <w:tcW w:w="1066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465" w:type="dxa"/>
            <w:tcBorders>
              <w:righ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3095" w:type="dxa"/>
            <w:tcBorders>
              <w:lef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2633" w:type="dxa"/>
          </w:tcPr>
          <w:p>
            <w:pPr>
              <w:widowControl/>
              <w:jc w:val="center"/>
            </w:pPr>
          </w:p>
        </w:tc>
        <w:tc>
          <w:tcPr>
            <w:tcW w:w="1133" w:type="dxa"/>
          </w:tcPr>
          <w:p>
            <w:pPr>
              <w:widowControl/>
              <w:jc w:val="center"/>
            </w:pPr>
          </w:p>
        </w:tc>
        <w:tc>
          <w:tcPr>
            <w:tcW w:w="1389" w:type="dxa"/>
          </w:tcPr>
          <w:p>
            <w:pPr>
              <w:widowControl/>
              <w:jc w:val="center"/>
            </w:pPr>
          </w:p>
        </w:tc>
        <w:tc>
          <w:tcPr>
            <w:tcW w:w="1066" w:type="dxa"/>
            <w:tcBorders>
              <w:right w:val="single" w:color="auto" w:sz="4" w:space="0"/>
            </w:tcBorders>
          </w:tcPr>
          <w:p>
            <w:pPr>
              <w:widowControl/>
              <w:jc w:val="center"/>
            </w:pPr>
          </w:p>
        </w:tc>
      </w:tr>
    </w:tbl>
    <w:p/>
    <w:p>
      <w:pPr>
        <w:widowControl/>
        <w:jc w:val="left"/>
      </w:pPr>
      <w:r>
        <w:br w:type="page"/>
      </w:r>
    </w:p>
    <w:p>
      <w:pPr>
        <w:widowControl/>
        <w:jc w:val="left"/>
      </w:pP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</w:tcPr>
          <w:p>
            <w:pPr>
              <w:jc w:val="center"/>
            </w:pPr>
            <w:r>
              <w:rPr>
                <w:rFonts w:hint="eastAsia"/>
              </w:rPr>
              <w:t>本人专业技术工作述评（限1800字）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50" w:hRule="atLeast"/>
        </w:trPr>
        <w:tc>
          <w:tcPr>
            <w:tcW w:w="9854" w:type="dxa"/>
          </w:tcPr>
          <w:p>
            <w:pPr>
              <w:spacing w:beforeLines="100" w:line="312" w:lineRule="auto"/>
              <w:ind w:left="283" w:leftChars="135" w:right="281" w:rightChars="134" w:firstLine="420" w:firstLineChars="200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牛燕燕，女，博士研究生，2011年7月入职海南师范大学化学与化工学院分析测试中心，2013年8月取得实验师</w:t>
            </w: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专业技术资格。就本人专业技术工作总结述评如下：</w:t>
            </w:r>
          </w:p>
          <w:p>
            <w:pPr>
              <w:spacing w:beforeLines="100" w:line="312" w:lineRule="auto"/>
              <w:ind w:left="283" w:leftChars="135" w:right="281" w:rightChars="134" w:firstLine="422" w:firstLineChars="200"/>
              <w:rPr>
                <w:rFonts w:ascii="Times New Roman" w:hAnsi="Times New Roman" w:cs="Times New Roman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Cs w:val="21"/>
              </w:rPr>
              <w:t>1. 思想政治</w:t>
            </w:r>
          </w:p>
          <w:p>
            <w:pPr>
              <w:spacing w:line="312" w:lineRule="auto"/>
              <w:ind w:left="283" w:leftChars="135" w:right="281" w:rightChars="134" w:firstLine="420" w:firstLineChars="200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本人热爱祖国、热爱党，始终坚持党的领导，拥护四项基本原则，忠诚于党的教育事业，拥护党的领导，坚持贯彻党的教育方针政策，积极学习，要求进步。热爱学生，关心学生，认真工作，爱岗敬业，乐于助人，团结同事，对于上级领导安排的任务，能够按时完成，工作表现良好。在2013年8月取得实验师</w:t>
            </w: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专业技术资格后，也未停止过学习的脚步，不断加强个人专业技术能力和综合素质的提升。</w:t>
            </w:r>
            <w:r>
              <w:rPr>
                <w:rFonts w:ascii="Times New Roman" w:hAnsi="Times New Roman" w:cs="Times New Roman"/>
                <w:szCs w:val="21"/>
              </w:rPr>
              <w:t>在工作中，严格要求自己，虚心向有经验的同事请教，不断提高个人的专业知识水平，参加相关的业务培训和学习。经学校批准同意，在单位领导的支持和同事的帮助下，顺利参加博士学历的继续教育，进一步提高了个人在化学领域的科研水平和能力，并于2020年6月顺利毕业。</w:t>
            </w:r>
          </w:p>
          <w:p>
            <w:pPr>
              <w:spacing w:beforeLines="100" w:line="312" w:lineRule="auto"/>
              <w:ind w:left="283" w:leftChars="135" w:right="281" w:rightChars="134" w:firstLine="422" w:firstLineChars="200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2. 岗位职责与工作态度</w:t>
            </w:r>
          </w:p>
          <w:p>
            <w:pPr>
              <w:spacing w:line="312" w:lineRule="auto"/>
              <w:ind w:left="283" w:leftChars="135" w:right="281" w:rightChars="134" w:firstLine="420" w:firstLineChars="200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自入职海南师范大学化学与化工学院分析测试中心以来，主要负责高效液相色谱和高/低分辨液质联用仪的管理与维护工作，院内外科研需求样品的测试工作，本科生《仪器分析》——高效液相色谱实验课程，指导本科生毕业设计，大学生创新创业项目，研究生科研项目实验设计与技术指导，配合部门领导完善本中心实验室管理制度，提高实验室管理水平和效率，推动本测试中心的长足发展，以及学院安排的其他工作等。</w:t>
            </w:r>
          </w:p>
          <w:p>
            <w:pPr>
              <w:spacing w:line="312" w:lineRule="auto"/>
              <w:ind w:left="283" w:leftChars="135" w:right="281" w:rightChars="134" w:firstLine="420" w:firstLineChars="200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所管理的仪器设备都建立了完善的操作规程、仪器设备使用记录、维修维护记录和使用制度等健全的档案，每一台设备都有迹可寻。由于设备本身的特殊属性，对供电需求苛刻，因此管理时需及时关注市电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Cs w:val="21"/>
              </w:rPr>
              <w:t>和</w:t>
            </w: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断电情况，以及液氮的及时供给，避免对仪器造成不可逆的损坏。所管理的相关设备自投入使用至今，能够安全有序运行，保障院内外科研相关的研究项目测试需求，提供及时可靠的实验数据。在基础运行的基础上，积极</w:t>
            </w:r>
            <w:r>
              <w:rPr>
                <w:rFonts w:ascii="Times New Roman" w:hAnsi="Times New Roman" w:cs="Times New Roman"/>
                <w:szCs w:val="21"/>
              </w:rPr>
              <w:t>探索实验设备在科研和实验教学中应用的新技能和新方法，创新仪器教学方法，保证实验教学和科研工作的有序开展。</w:t>
            </w:r>
          </w:p>
          <w:p>
            <w:pPr>
              <w:spacing w:line="312" w:lineRule="auto"/>
              <w:ind w:left="283" w:leftChars="135" w:right="281" w:rightChars="134" w:firstLine="420" w:firstLineChars="200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同时还承担了本科生《仪器分析》——高效液相色谱的实验课程，结合仪器分析实验课程的特点和授课内容，结合学生的学习基础和爱好，设计了适合本科生实践的液相色谱实验课程，在有限的课时内，掌握该色谱分析的原理、操作技能和技巧，并提交完整的实验报告。使学生在走上相关的工作岗位时，能够对色谱技术有一个相对完整的认知。</w:t>
            </w:r>
          </w:p>
          <w:p>
            <w:pPr>
              <w:spacing w:line="312" w:lineRule="auto"/>
              <w:ind w:left="283" w:leftChars="135" w:right="281" w:rightChars="134" w:firstLine="420" w:firstLineChars="200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此外，根据设备的机时安排，结合设备的应用特点和自己的专业知识，探索大型设备的高级应用</w:t>
            </w:r>
            <w:r>
              <w:rPr>
                <w:rFonts w:hint="eastAsia" w:ascii="Times New Roman" w:hAnsi="Times New Roman" w:cs="Times New Roman"/>
                <w:szCs w:val="21"/>
              </w:rPr>
              <w:t>和</w:t>
            </w:r>
            <w:r>
              <w:rPr>
                <w:rFonts w:ascii="Times New Roman" w:hAnsi="Times New Roman" w:cs="Times New Roman"/>
                <w:szCs w:val="21"/>
              </w:rPr>
              <w:t>联用技术，以期实现该设备在更多领域的应用，实现技术的拓展和设备使用率和开发效率的提升。同时指导本科生毕业设计和大学生创新创业项目，指导本科生及研究生实验操作和设备使用培训等多项工作。积极配合并服从学院领导的工作安排，负责2016-2019年，三个学期的出入库登记管理工作。</w:t>
            </w:r>
          </w:p>
          <w:p>
            <w:pPr>
              <w:spacing w:beforeLines="100" w:line="312" w:lineRule="auto"/>
              <w:ind w:left="283" w:leftChars="135" w:right="281" w:rightChars="134" w:firstLine="422" w:firstLineChars="200"/>
              <w:rPr>
                <w:rFonts w:ascii="Times New Roman" w:hAnsi="Times New Roman" w:cs="Times New Roman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3. 相关成果（2013年9月-2020年12月）</w:t>
            </w:r>
          </w:p>
          <w:p>
            <w:pPr>
              <w:spacing w:line="312" w:lineRule="auto"/>
              <w:ind w:left="283" w:leftChars="135" w:right="281" w:rightChars="134" w:firstLine="422" w:firstLineChars="200"/>
              <w:rPr>
                <w:rFonts w:ascii="Times New Roman" w:hAnsi="Times New Roman" w:cs="Times New Roman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Cs w:val="21"/>
              </w:rPr>
              <w:t xml:space="preserve">3.1 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Cs w:val="21"/>
              </w:rPr>
              <w:t>项目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Cs w:val="21"/>
              </w:rPr>
              <w:t>（主持）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Cs w:val="21"/>
              </w:rPr>
              <w:t>：</w:t>
            </w:r>
          </w:p>
          <w:p>
            <w:pPr>
              <w:spacing w:line="312" w:lineRule="auto"/>
              <w:ind w:left="283" w:leftChars="135" w:right="281" w:rightChars="134" w:firstLine="420" w:firstLineChars="200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（1）海南省自然科学基金项目：</w:t>
            </w:r>
            <w:r>
              <w:rPr>
                <w:rFonts w:ascii="Times New Roman" w:hAnsi="Times New Roman" w:cs="Times New Roman"/>
              </w:rPr>
              <w:t>海洋来源内生真菌醌类次级代谢产物的鉴定及HPLC/ESI-MS(n)研究（20162029）</w:t>
            </w: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，主持，</w:t>
            </w:r>
            <w:r>
              <w:rPr>
                <w:rFonts w:ascii="Times New Roman" w:hAnsi="Times New Roman" w:cs="Times New Roman"/>
                <w:szCs w:val="21"/>
              </w:rPr>
              <w:t>已结题；</w:t>
            </w:r>
          </w:p>
          <w:p>
            <w:pPr>
              <w:spacing w:line="312" w:lineRule="auto"/>
              <w:ind w:left="283" w:leftChars="135" w:right="281" w:rightChars="134" w:firstLine="420" w:firstLineChars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（2）</w:t>
            </w: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海南省自然科学基金项目：</w:t>
            </w:r>
            <w:r>
              <w:rPr>
                <w:rFonts w:ascii="Times New Roman" w:hAnsi="Times New Roman" w:eastAsia="宋体" w:cs="Times New Roman"/>
              </w:rPr>
              <w:t>基于纳米二氧化钛复合材料的光电化学适配体传感器的制备及应用</w:t>
            </w:r>
            <w:r>
              <w:rPr>
                <w:rFonts w:ascii="Times New Roman" w:hAnsi="Times New Roman" w:cs="Times New Roman"/>
              </w:rPr>
              <w:t>（</w:t>
            </w:r>
            <w:r>
              <w:rPr>
                <w:rFonts w:ascii="Times New Roman" w:hAnsi="Times New Roman" w:eastAsia="宋体" w:cs="Times New Roman"/>
              </w:rPr>
              <w:t>219QN207</w:t>
            </w:r>
            <w:r>
              <w:rPr>
                <w:rFonts w:ascii="Times New Roman" w:hAnsi="Times New Roman" w:cs="Times New Roman"/>
              </w:rPr>
              <w:t>），主持，</w:t>
            </w:r>
            <w:r>
              <w:rPr>
                <w:rFonts w:hint="eastAsia" w:ascii="Times New Roman" w:hAnsi="Times New Roman" w:cs="Times New Roman"/>
              </w:rPr>
              <w:t>待</w:t>
            </w:r>
            <w:r>
              <w:rPr>
                <w:rFonts w:ascii="Times New Roman" w:hAnsi="Times New Roman" w:cs="Times New Roman"/>
              </w:rPr>
              <w:t>结题。</w:t>
            </w:r>
          </w:p>
          <w:p>
            <w:pPr>
              <w:spacing w:line="312" w:lineRule="auto"/>
              <w:ind w:left="283" w:leftChars="135" w:right="281" w:rightChars="134" w:firstLine="420" w:firstLineChars="200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</w:rPr>
              <w:t>（3）</w:t>
            </w:r>
            <w:r>
              <w:rPr>
                <w:rFonts w:ascii="Times New Roman" w:hAnsi="Times New Roman" w:cs="Times New Roman"/>
                <w:szCs w:val="21"/>
              </w:rPr>
              <w:t>校级教改项目：</w:t>
            </w:r>
            <w:r>
              <w:rPr>
                <w:rFonts w:ascii="Times New Roman" w:hAnsi="Times New Roman" w:eastAsia="宋体" w:cs="Times New Roman"/>
              </w:rPr>
              <w:t>大学生大型分析仪器实验课程教学改革的探讨</w:t>
            </w:r>
            <w:r>
              <w:rPr>
                <w:rFonts w:ascii="Times New Roman" w:hAnsi="Times New Roman" w:cs="Times New Roman"/>
              </w:rPr>
              <w:t>（hsjg2019-21），主持，已结题</w:t>
            </w:r>
            <w:r>
              <w:rPr>
                <w:rFonts w:ascii="Times New Roman" w:hAnsi="Times New Roman" w:cs="Times New Roman"/>
                <w:szCs w:val="21"/>
              </w:rPr>
              <w:t>。</w:t>
            </w:r>
          </w:p>
          <w:p>
            <w:pPr>
              <w:spacing w:line="312" w:lineRule="auto"/>
              <w:ind w:left="283" w:leftChars="135" w:right="281" w:rightChars="134" w:firstLine="422" w:firstLineChars="200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bCs/>
                <w:szCs w:val="21"/>
              </w:rPr>
              <w:t xml:space="preserve">3.2 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>论文：</w:t>
            </w:r>
          </w:p>
          <w:p>
            <w:pPr>
              <w:spacing w:line="312" w:lineRule="auto"/>
              <w:ind w:left="283" w:leftChars="135" w:right="281" w:rightChars="134" w:firstLine="420" w:firstLineChars="200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以第一作者</w:t>
            </w:r>
            <w:r>
              <w:rPr>
                <w:rFonts w:hint="eastAsia" w:ascii="Times New Roman" w:hAnsi="Times New Roman" w:cs="Times New Roman"/>
                <w:szCs w:val="21"/>
              </w:rPr>
              <w:t>（或</w:t>
            </w:r>
            <w:r>
              <w:rPr>
                <w:rFonts w:ascii="Times New Roman" w:hAnsi="Times New Roman" w:cs="Times New Roman"/>
                <w:szCs w:val="21"/>
              </w:rPr>
              <w:t>通讯作者</w:t>
            </w:r>
            <w:r>
              <w:rPr>
                <w:rFonts w:hint="eastAsia" w:ascii="Times New Roman" w:hAnsi="Times New Roman" w:cs="Times New Roman"/>
                <w:szCs w:val="21"/>
              </w:rPr>
              <w:t>）</w:t>
            </w:r>
            <w:r>
              <w:rPr>
                <w:rFonts w:ascii="Times New Roman" w:hAnsi="Times New Roman" w:cs="Times New Roman"/>
                <w:szCs w:val="21"/>
              </w:rPr>
              <w:t>共发表论文16篇，其中SCI收录的论文6篇，中文核心论文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6</w:t>
            </w:r>
            <w:r>
              <w:rPr>
                <w:rFonts w:ascii="Times New Roman" w:hAnsi="Times New Roman" w:cs="Times New Roman"/>
                <w:szCs w:val="21"/>
              </w:rPr>
              <w:t>篇，发表与设备管理、实验室建设和仪器分析实验课程教学设计、大学生实验创新相关的论文3篇。</w:t>
            </w:r>
          </w:p>
          <w:p>
            <w:pPr>
              <w:spacing w:line="312" w:lineRule="auto"/>
              <w:ind w:left="283" w:leftChars="135" w:right="281" w:rightChars="134" w:firstLine="422" w:firstLineChars="200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bCs/>
                <w:szCs w:val="21"/>
              </w:rPr>
              <w:t xml:space="preserve">3.3 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>著作：</w:t>
            </w:r>
          </w:p>
          <w:p>
            <w:pPr>
              <w:spacing w:line="312" w:lineRule="auto"/>
              <w:ind w:left="283" w:leftChars="135" w:right="281" w:rightChars="134" w:firstLine="420" w:firstLineChars="200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参编著作：</w:t>
            </w: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《</w:t>
            </w:r>
            <w:r>
              <w:rPr>
                <w:rFonts w:ascii="Times New Roman" w:hAnsi="Times New Roman" w:eastAsia="宋体" w:cs="Times New Roman"/>
                <w:szCs w:val="21"/>
              </w:rPr>
              <w:t>橡塑助剂生产工艺与技术</w:t>
            </w: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》，个人撰写字数10.2万字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Cs w:val="21"/>
                <w:lang w:eastAsia="zh-CN"/>
              </w:rPr>
              <w:t>（排名第五）</w:t>
            </w: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。</w:t>
            </w:r>
          </w:p>
          <w:p>
            <w:pPr>
              <w:spacing w:line="312" w:lineRule="auto"/>
              <w:ind w:left="283" w:leftChars="135" w:right="281" w:rightChars="134" w:firstLine="422" w:firstLineChars="200"/>
              <w:rPr>
                <w:rFonts w:ascii="Times New Roman" w:hAnsi="Times New Roman" w:cs="Times New Roman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Cs w:val="21"/>
              </w:rPr>
              <w:t xml:space="preserve">3.4 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Cs w:val="21"/>
              </w:rPr>
              <w:t>授权专利：</w:t>
            </w:r>
          </w:p>
          <w:p>
            <w:pPr>
              <w:spacing w:line="312" w:lineRule="auto"/>
              <w:ind w:left="283" w:leftChars="135" w:right="281" w:rightChars="134" w:firstLine="420" w:firstLineChars="200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（1）发明专利：</w:t>
            </w:r>
            <w:r>
              <w:rPr>
                <w:rFonts w:ascii="Times New Roman" w:hAnsi="Times New Roman" w:eastAsia="宋体" w:cs="Times New Roman"/>
              </w:rPr>
              <w:t>纳米金-生物质碳复合材料修饰电极及其在木犀草素检测中的应用，专利授权号ZL 201810261884.4，第一发明人，授权时间2019.10.22.；</w:t>
            </w:r>
          </w:p>
          <w:p>
            <w:pPr>
              <w:spacing w:line="312" w:lineRule="auto"/>
              <w:ind w:left="283" w:leftChars="135" w:right="281" w:rightChars="134" w:firstLine="420" w:firstLineChars="200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</w:rPr>
              <w:t>（2）发明专利：</w:t>
            </w:r>
            <w:r>
              <w:rPr>
                <w:rFonts w:ascii="Times New Roman" w:hAnsi="Times New Roman" w:cs="Times New Roman"/>
              </w:rPr>
              <w:t>一种基于静电纺丝技术制备TiO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>-碳纤维复合材料的方法及修饰电极的制备与应用，专利授权号ZL201810525501.X，第一发明人，授权时间2020.04.21.。</w:t>
            </w:r>
          </w:p>
          <w:p>
            <w:pPr>
              <w:spacing w:beforeLines="100" w:line="312" w:lineRule="auto"/>
              <w:ind w:left="283" w:leftChars="135" w:right="281" w:rightChars="134" w:firstLine="420" w:firstLineChars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在这几年里，无论是个人道德修养还是工作能力与科研水平，都得到了很大的提升。同时，我也明白进步与不足是共存的，工作中还存在很多不足和需要提高和改进的地方，我会继续加倍努力，克服不足，总结经验和教训，认真做好本职工作，努力提高自己，争取在任职的岗位上取得更大的进步。</w:t>
            </w:r>
          </w:p>
          <w:p>
            <w:pPr>
              <w:spacing w:line="312" w:lineRule="auto"/>
              <w:rPr>
                <w:rFonts w:ascii="Times New Roman" w:hAnsi="Times New Roman" w:cs="Times New Roman"/>
              </w:rPr>
            </w:pPr>
          </w:p>
          <w:p>
            <w:pPr>
              <w:spacing w:line="312" w:lineRule="auto"/>
              <w:ind w:firstLine="420" w:firstLineChars="200"/>
            </w:pPr>
            <w:r>
              <w:rPr>
                <w:rFonts w:hint="eastAsia"/>
              </w:rPr>
              <w:t>本人承诺：</w:t>
            </w:r>
          </w:p>
          <w:p>
            <w:pPr>
              <w:spacing w:line="312" w:lineRule="auto"/>
            </w:pPr>
          </w:p>
          <w:p>
            <w:pPr>
              <w:spacing w:line="312" w:lineRule="auto"/>
            </w:pPr>
          </w:p>
          <w:p>
            <w:pPr>
              <w:spacing w:line="312" w:lineRule="auto"/>
            </w:pPr>
          </w:p>
          <w:p>
            <w:pPr>
              <w:spacing w:line="312" w:lineRule="auto"/>
            </w:pPr>
            <w:r>
              <w:rPr>
                <w:rFonts w:hint="eastAsia"/>
              </w:rPr>
              <w:t xml:space="preserve">                                                            </w:t>
            </w:r>
          </w:p>
          <w:p>
            <w:pPr>
              <w:spacing w:line="312" w:lineRule="auto"/>
              <w:ind w:firstLine="6930" w:firstLineChars="3300"/>
            </w:pPr>
            <w:r>
              <w:rPr>
                <w:rFonts w:hint="eastAsia"/>
              </w:rPr>
              <w:t xml:space="preserve"> 签名： </w:t>
            </w:r>
          </w:p>
          <w:p>
            <w:pPr>
              <w:spacing w:line="312" w:lineRule="auto"/>
            </w:pPr>
            <w:r>
              <w:rPr>
                <w:rFonts w:hint="eastAsia"/>
              </w:rPr>
              <w:t xml:space="preserve">              </w:t>
            </w:r>
          </w:p>
          <w:p>
            <w:pPr>
              <w:spacing w:line="312" w:lineRule="auto"/>
              <w:ind w:firstLine="7770" w:firstLineChars="3700"/>
            </w:pPr>
            <w:r>
              <w:rPr>
                <w:rFonts w:hint="eastAsia"/>
              </w:rPr>
              <w:t xml:space="preserve">  年    月    日</w:t>
            </w:r>
          </w:p>
          <w:p>
            <w:pPr>
              <w:spacing w:line="312" w:lineRule="auto"/>
            </w:pPr>
          </w:p>
          <w:p/>
        </w:tc>
      </w:tr>
    </w:tbl>
    <w:p/>
    <w:tbl>
      <w:tblPr>
        <w:tblStyle w:val="5"/>
        <w:tblW w:w="0" w:type="auto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861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3" w:hRule="atLeast"/>
        </w:trPr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二级学院职称评审推荐工作委员会审核意见</w:t>
            </w:r>
          </w:p>
        </w:tc>
        <w:tc>
          <w:tcPr>
            <w:tcW w:w="861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ind w:firstLine="420" w:firstLineChars="200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依据《海南师范大学高校教师系列专业技术职务评审管理办法》（海师办[2021]87号文规定，经鉴定审核，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  <w:u w:val="single"/>
              </w:rPr>
              <w:t xml:space="preserve">        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同志的申报材料真实完整，并经    年  月  日至    月   日公示无异议，同意推荐其参评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  <w:u w:val="single"/>
              </w:rPr>
              <w:t xml:space="preserve">              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专业技术资格职称。</w:t>
            </w:r>
          </w:p>
          <w:p>
            <w:pPr>
              <w:widowControl/>
              <w:ind w:firstLine="420" w:firstLineChars="200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材料审核人：              学院院长签字（盖章）：         年   月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1276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同行专家评审代表作名称</w:t>
            </w:r>
          </w:p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18"/>
                <w:szCs w:val="18"/>
              </w:rPr>
              <w:t>（个人填写）</w:t>
            </w:r>
          </w:p>
        </w:tc>
        <w:tc>
          <w:tcPr>
            <w:tcW w:w="8612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代表作1名称：</w:t>
            </w:r>
            <w:r>
              <w:rPr>
                <w:rFonts w:ascii="Times New Roman" w:hAnsi="Times New Roman" w:eastAsia="宋体" w:cs="Times New Roman"/>
              </w:rPr>
              <w:t>ZnO-reduced graphene oxide composite based photoelectrochemical aptasensor for sensitive Cd(II) detection with methylene blue as sensitizer</w:t>
            </w:r>
            <w:r>
              <w:rPr>
                <w:rFonts w:hint="eastAsia" w:ascii="Times New Roman" w:hAnsi="Times New Roman" w:eastAsia="宋体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t>Analytica Chimica Acta, 2020, 1118: 1-8.</w:t>
            </w:r>
          </w:p>
          <w:p>
            <w:pPr>
              <w:widowControl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代表作2名称：</w:t>
            </w:r>
            <w:r>
              <w:rPr>
                <w:rFonts w:ascii="Times New Roman" w:hAnsi="Times New Roman" w:eastAsia="宋体" w:cs="Times New Roman"/>
              </w:rPr>
              <w:t>Photoelectrochemical aptasensor for lead(II) by exploiting the CdS nanoparticle-assisted photoactivity of TiO</w:t>
            </w:r>
            <w:r>
              <w:rPr>
                <w:rFonts w:ascii="Times New Roman" w:hAnsi="Times New Roman" w:eastAsia="宋体" w:cs="Times New Roman"/>
                <w:vertAlign w:val="subscript"/>
              </w:rPr>
              <w:t>2</w:t>
            </w:r>
            <w:r>
              <w:rPr>
                <w:rFonts w:ascii="Times New Roman" w:hAnsi="Times New Roman" w:eastAsia="宋体" w:cs="Times New Roman"/>
              </w:rPr>
              <w:t xml:space="preserve"> nanoparticles and by using the quercetin-copper(II) complex as the DNA intercalator</w:t>
            </w:r>
            <w:r>
              <w:rPr>
                <w:rFonts w:hint="eastAsia" w:ascii="Times New Roman" w:hAnsi="Times New Roman" w:eastAsia="宋体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t>Microchimica Acta, 2019, 186: 826-833.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外审结论</w:t>
            </w:r>
          </w:p>
        </w:tc>
        <w:tc>
          <w:tcPr>
            <w:tcW w:w="8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优秀    票，良好    票，合格     票，不合格     票。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98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学校职称办预审意见：</w:t>
            </w:r>
          </w:p>
          <w:p>
            <w:pPr>
              <w:widowControl/>
              <w:spacing w:line="460" w:lineRule="atLeas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460" w:lineRule="atLeas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460" w:lineRule="atLeas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审 核 人：                          负责人：                         （加盖单位公章）</w:t>
            </w:r>
          </w:p>
          <w:p>
            <w:pPr>
              <w:rPr>
                <w:kern w:val="0"/>
              </w:rPr>
            </w:pPr>
          </w:p>
          <w:p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审核日期：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0" w:hRule="atLeast"/>
        </w:trPr>
        <w:tc>
          <w:tcPr>
            <w:tcW w:w="98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申请人答辨情况：</w:t>
            </w:r>
          </w:p>
          <w:p>
            <w:pPr>
              <w:rPr>
                <w:kern w:val="0"/>
              </w:rPr>
            </w:pPr>
          </w:p>
          <w:p>
            <w:pPr>
              <w:rPr>
                <w:kern w:val="0"/>
              </w:rPr>
            </w:pPr>
          </w:p>
          <w:p>
            <w:pPr>
              <w:rPr>
                <w:kern w:val="0"/>
              </w:rPr>
            </w:pPr>
          </w:p>
          <w:p>
            <w:pPr>
              <w:rPr>
                <w:kern w:val="0"/>
              </w:rPr>
            </w:pPr>
          </w:p>
          <w:p>
            <w:pPr>
              <w:rPr>
                <w:kern w:val="0"/>
              </w:rPr>
            </w:pPr>
          </w:p>
          <w:p>
            <w:pPr>
              <w:rPr>
                <w:kern w:val="0"/>
              </w:rPr>
            </w:pPr>
          </w:p>
          <w:p>
            <w:pPr>
              <w:rPr>
                <w:kern w:val="0"/>
              </w:rPr>
            </w:pPr>
          </w:p>
          <w:p>
            <w:pPr>
              <w:rPr>
                <w:kern w:val="0"/>
              </w:rPr>
            </w:pPr>
          </w:p>
          <w:p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      </w:t>
            </w:r>
            <w:r>
              <w:rPr>
                <w:rFonts w:hint="eastAsia"/>
                <w:kern w:val="0"/>
                <w:u w:val="single"/>
              </w:rPr>
              <w:t xml:space="preserve">             </w:t>
            </w:r>
            <w:r>
              <w:rPr>
                <w:rFonts w:hint="eastAsia"/>
                <w:kern w:val="0"/>
              </w:rPr>
              <w:t>学科评议组组长签名：                  年    月    日</w:t>
            </w:r>
          </w:p>
          <w:p>
            <w:pPr>
              <w:rPr>
                <w:kern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7" w:hRule="atLeast"/>
        </w:trPr>
        <w:tc>
          <w:tcPr>
            <w:tcW w:w="98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学科评议组意见：</w:t>
            </w:r>
          </w:p>
          <w:p>
            <w:pPr>
              <w:pStyle w:val="8"/>
              <w:rPr>
                <w:kern w:val="0"/>
              </w:rPr>
            </w:pPr>
          </w:p>
          <w:p>
            <w:pPr>
              <w:pStyle w:val="8"/>
              <w:rPr>
                <w:kern w:val="0"/>
              </w:rPr>
            </w:pPr>
          </w:p>
          <w:p>
            <w:pPr>
              <w:pStyle w:val="8"/>
              <w:rPr>
                <w:kern w:val="0"/>
              </w:rPr>
            </w:pPr>
          </w:p>
          <w:p>
            <w:pPr>
              <w:pStyle w:val="8"/>
              <w:rPr>
                <w:kern w:val="0"/>
              </w:rPr>
            </w:pPr>
          </w:p>
          <w:p>
            <w:pPr>
              <w:pStyle w:val="8"/>
              <w:rPr>
                <w:kern w:val="0"/>
              </w:rPr>
            </w:pPr>
          </w:p>
          <w:p>
            <w:pPr>
              <w:pStyle w:val="8"/>
              <w:rPr>
                <w:kern w:val="0"/>
              </w:rPr>
            </w:pPr>
          </w:p>
          <w:p>
            <w:pPr>
              <w:pStyle w:val="8"/>
              <w:rPr>
                <w:kern w:val="0"/>
              </w:rPr>
            </w:pPr>
          </w:p>
          <w:p>
            <w:pPr>
              <w:pStyle w:val="8"/>
              <w:rPr>
                <w:kern w:val="0"/>
              </w:rPr>
            </w:pPr>
          </w:p>
          <w:p>
            <w:pPr>
              <w:pStyle w:val="8"/>
              <w:rPr>
                <w:kern w:val="0"/>
              </w:rPr>
            </w:pPr>
          </w:p>
          <w:p>
            <w:pPr>
              <w:widowControl/>
              <w:spacing w:line="520" w:lineRule="atLeast"/>
              <w:ind w:right="840"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专家签名：                                                            日期：</w:t>
            </w:r>
          </w:p>
          <w:p>
            <w:pPr>
              <w:widowControl/>
              <w:spacing w:line="520" w:lineRule="atLeast"/>
              <w:ind w:right="840"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</w:tr>
    </w:tbl>
    <w:p/>
    <w:p>
      <w:pPr>
        <w:jc w:val="center"/>
        <w:rPr>
          <w:rFonts w:ascii="Calibri" w:hAnsi="Calibri" w:eastAsia="黑体" w:cs="Times New Roman"/>
          <w:sz w:val="32"/>
          <w:szCs w:val="32"/>
        </w:rPr>
      </w:pPr>
      <w:r>
        <w:rPr>
          <w:rFonts w:hint="eastAsia" w:ascii="Calibri" w:hAnsi="Calibri" w:eastAsia="黑体" w:cs="Times New Roman"/>
          <w:sz w:val="32"/>
          <w:szCs w:val="32"/>
        </w:rPr>
        <w:t>评  审  审  批  意  见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8"/>
        <w:gridCol w:w="1239"/>
        <w:gridCol w:w="1239"/>
        <w:gridCol w:w="1239"/>
        <w:gridCol w:w="1239"/>
        <w:gridCol w:w="1239"/>
        <w:gridCol w:w="1239"/>
        <w:gridCol w:w="12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1238" w:type="dxa"/>
            <w:vMerge w:val="restart"/>
            <w:textDirection w:val="tbRlV"/>
            <w:vAlign w:val="center"/>
          </w:tcPr>
          <w:p>
            <w:pPr>
              <w:ind w:left="113" w:leftChars="54" w:right="113" w:firstLine="210" w:firstLineChars="10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评  审  组  织  意  见</w:t>
            </w:r>
          </w:p>
        </w:tc>
        <w:tc>
          <w:tcPr>
            <w:tcW w:w="1239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总人数</w:t>
            </w:r>
          </w:p>
        </w:tc>
        <w:tc>
          <w:tcPr>
            <w:tcW w:w="1239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参加人数</w:t>
            </w:r>
          </w:p>
        </w:tc>
        <w:tc>
          <w:tcPr>
            <w:tcW w:w="4956" w:type="dxa"/>
            <w:gridSpan w:val="4"/>
            <w:vAlign w:val="center"/>
          </w:tcPr>
          <w:p>
            <w:pPr>
              <w:ind w:firstLine="420" w:firstLineChars="20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表  决  结  果</w:t>
            </w:r>
          </w:p>
        </w:tc>
        <w:tc>
          <w:tcPr>
            <w:tcW w:w="1239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1238" w:type="dxa"/>
            <w:vMerge w:val="continue"/>
            <w:textDirection w:val="tbRlV"/>
            <w:vAlign w:val="center"/>
          </w:tcPr>
          <w:p>
            <w:pPr>
              <w:ind w:left="113" w:leftChars="54" w:right="113" w:firstLine="180" w:firstLineChars="100"/>
              <w:jc w:val="center"/>
              <w:rPr>
                <w:rFonts w:ascii="宋体" w:hAnsi="宋体" w:eastAsia="宋体" w:cs="Times New Roman"/>
                <w:sz w:val="18"/>
              </w:rPr>
            </w:pPr>
          </w:p>
        </w:tc>
        <w:tc>
          <w:tcPr>
            <w:tcW w:w="1239" w:type="dxa"/>
          </w:tcPr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</w:tc>
        <w:tc>
          <w:tcPr>
            <w:tcW w:w="1239" w:type="dxa"/>
          </w:tcPr>
          <w:p>
            <w:pPr>
              <w:jc w:val="center"/>
              <w:rPr>
                <w:rFonts w:ascii="宋体" w:hAnsi="宋体" w:eastAsia="宋体" w:cs="Times New Roman"/>
                <w:sz w:val="44"/>
              </w:rPr>
            </w:pPr>
          </w:p>
        </w:tc>
        <w:tc>
          <w:tcPr>
            <w:tcW w:w="1239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赞成人数</w:t>
            </w:r>
          </w:p>
        </w:tc>
        <w:tc>
          <w:tcPr>
            <w:tcW w:w="1239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239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反对人数</w:t>
            </w:r>
          </w:p>
        </w:tc>
        <w:tc>
          <w:tcPr>
            <w:tcW w:w="1239" w:type="dxa"/>
          </w:tcPr>
          <w:p>
            <w:pPr>
              <w:jc w:val="center"/>
              <w:rPr>
                <w:rFonts w:ascii="宋体" w:hAnsi="宋体" w:eastAsia="宋体" w:cs="Times New Roman"/>
                <w:sz w:val="44"/>
              </w:rPr>
            </w:pPr>
          </w:p>
        </w:tc>
        <w:tc>
          <w:tcPr>
            <w:tcW w:w="1239" w:type="dxa"/>
          </w:tcPr>
          <w:p>
            <w:pPr>
              <w:jc w:val="center"/>
              <w:rPr>
                <w:rFonts w:ascii="宋体" w:hAnsi="宋体" w:eastAsia="宋体" w:cs="Times New Roman"/>
                <w:sz w:val="4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28" w:hRule="atLeast"/>
        </w:trPr>
        <w:tc>
          <w:tcPr>
            <w:tcW w:w="1238" w:type="dxa"/>
            <w:vMerge w:val="continue"/>
            <w:textDirection w:val="tbRlV"/>
            <w:vAlign w:val="center"/>
          </w:tcPr>
          <w:p>
            <w:pPr>
              <w:ind w:left="113" w:leftChars="54" w:right="113" w:firstLine="180" w:firstLineChars="100"/>
              <w:jc w:val="center"/>
              <w:rPr>
                <w:rFonts w:ascii="宋体" w:hAnsi="宋体" w:eastAsia="宋体" w:cs="Times New Roman"/>
                <w:sz w:val="18"/>
              </w:rPr>
            </w:pPr>
          </w:p>
        </w:tc>
        <w:tc>
          <w:tcPr>
            <w:tcW w:w="8673" w:type="dxa"/>
            <w:gridSpan w:val="7"/>
          </w:tcPr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ind w:firstLine="180" w:firstLineChars="100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ind w:firstLine="210" w:firstLineChars="100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评委会                                           评审机构</w:t>
            </w:r>
          </w:p>
          <w:p>
            <w:pPr>
              <w:ind w:firstLine="210" w:firstLineChars="100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主任签字：</w:t>
            </w:r>
            <w:r>
              <w:rPr>
                <w:rFonts w:hint="eastAsia" w:ascii="宋体" w:hAnsi="宋体" w:eastAsia="宋体" w:cs="Times New Roman"/>
                <w:sz w:val="18"/>
              </w:rPr>
              <w:t xml:space="preserve">                                              </w:t>
            </w:r>
            <w:r>
              <w:rPr>
                <w:rFonts w:hint="eastAsia" w:ascii="宋体" w:hAnsi="宋体" w:eastAsia="宋体" w:cs="Times New Roman"/>
                <w:szCs w:val="21"/>
              </w:rPr>
              <w:t>公  章</w:t>
            </w:r>
          </w:p>
          <w:p>
            <w:pPr>
              <w:rPr>
                <w:rFonts w:ascii="宋体" w:hAnsi="宋体" w:eastAsia="宋体" w:cs="Times New Roman"/>
                <w:sz w:val="18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 xml:space="preserve">                              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37" w:hRule="atLeast"/>
        </w:trPr>
        <w:tc>
          <w:tcPr>
            <w:tcW w:w="1238" w:type="dxa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 xml:space="preserve">公   示  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 w:eastAsia="宋体" w:cs="Times New Roman"/>
                <w:szCs w:val="21"/>
              </w:rPr>
              <w:t xml:space="preserve">结 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 w:eastAsia="宋体" w:cs="Times New Roman"/>
                <w:szCs w:val="21"/>
              </w:rPr>
              <w:t xml:space="preserve"> 果</w:t>
            </w:r>
          </w:p>
        </w:tc>
        <w:tc>
          <w:tcPr>
            <w:tcW w:w="8673" w:type="dxa"/>
            <w:gridSpan w:val="7"/>
          </w:tcPr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 w:val="18"/>
              </w:rPr>
              <w:t xml:space="preserve">                                </w:t>
            </w:r>
            <w:r>
              <w:rPr>
                <w:rFonts w:hint="eastAsia" w:ascii="宋体" w:hAnsi="宋体" w:eastAsia="宋体" w:cs="Times New Roman"/>
                <w:szCs w:val="21"/>
              </w:rPr>
              <w:t>公   章</w:t>
            </w: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 xml:space="preserve">             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7" w:hRule="atLeast"/>
        </w:trPr>
        <w:tc>
          <w:tcPr>
            <w:tcW w:w="1238" w:type="dxa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学  校  核  准  意  见</w:t>
            </w:r>
          </w:p>
        </w:tc>
        <w:tc>
          <w:tcPr>
            <w:tcW w:w="8673" w:type="dxa"/>
            <w:gridSpan w:val="7"/>
          </w:tcPr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rPr>
                <w:rFonts w:ascii="宋体" w:hAnsi="宋体" w:eastAsia="宋体" w:cs="Times New Roman"/>
                <w:sz w:val="18"/>
              </w:rPr>
            </w:pPr>
          </w:p>
          <w:p>
            <w:pPr>
              <w:rPr>
                <w:rFonts w:ascii="宋体" w:hAnsi="宋体" w:eastAsia="宋体" w:cs="Times New Roman"/>
                <w:sz w:val="18"/>
              </w:rPr>
            </w:pPr>
          </w:p>
          <w:p>
            <w:pPr>
              <w:rPr>
                <w:rFonts w:ascii="宋体" w:hAnsi="宋体" w:eastAsia="宋体" w:cs="Times New Roman"/>
                <w:sz w:val="18"/>
              </w:rPr>
            </w:pPr>
          </w:p>
          <w:p>
            <w:pPr>
              <w:rPr>
                <w:rFonts w:ascii="宋体" w:hAnsi="宋体" w:eastAsia="宋体" w:cs="Times New Roman"/>
                <w:sz w:val="18"/>
              </w:rPr>
            </w:pPr>
          </w:p>
          <w:p>
            <w:pPr>
              <w:rPr>
                <w:rFonts w:ascii="宋体" w:hAnsi="宋体" w:eastAsia="宋体" w:cs="Times New Roman"/>
                <w:sz w:val="18"/>
              </w:rPr>
            </w:pPr>
          </w:p>
          <w:p>
            <w:pPr>
              <w:rPr>
                <w:rFonts w:ascii="宋体" w:hAnsi="宋体" w:eastAsia="宋体" w:cs="Times New Roman"/>
                <w:sz w:val="18"/>
              </w:rPr>
            </w:pPr>
          </w:p>
          <w:p>
            <w:pPr>
              <w:ind w:firstLine="6195" w:firstLineChars="2950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公  章</w:t>
            </w:r>
          </w:p>
          <w:p>
            <w:pPr>
              <w:ind w:firstLine="420" w:firstLineChars="200"/>
              <w:rPr>
                <w:rFonts w:ascii="宋体" w:hAnsi="宋体" w:eastAsia="宋体" w:cs="Times New Roman"/>
                <w:sz w:val="18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负责人：                                           年     月    日</w:t>
            </w:r>
          </w:p>
        </w:tc>
      </w:tr>
    </w:tbl>
    <w:p>
      <w:pPr>
        <w:widowControl/>
        <w:jc w:val="left"/>
      </w:pPr>
    </w:p>
    <w:sectPr>
      <w:footerReference r:id="rId3" w:type="default"/>
      <w:footerReference r:id="rId4" w:type="even"/>
      <w:pgSz w:w="11906" w:h="16838"/>
      <w:pgMar w:top="1134" w:right="1134" w:bottom="1134" w:left="1134" w:header="851" w:footer="45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192297"/>
      <w:docPartObj>
        <w:docPartGallery w:val="autotext"/>
      </w:docPartObj>
    </w:sdtPr>
    <w:sdtContent>
      <w:sdt>
        <w:sdtPr>
          <w:id w:val="98381352"/>
          <w:docPartObj>
            <w:docPartGallery w:val="autotext"/>
          </w:docPartObj>
        </w:sdtPr>
        <w:sdtContent>
          <w:p>
            <w:pPr>
              <w:pStyle w:val="3"/>
              <w:jc w:val="right"/>
            </w:pPr>
            <w:r>
              <w:rPr>
                <w:lang w:val="zh-CN"/>
              </w:rPr>
              <w:t xml:space="preserve">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13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15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9013125"/>
      <w:docPartObj>
        <w:docPartGallery w:val="autotext"/>
      </w:docPartObj>
    </w:sdtPr>
    <w:sdtContent>
      <w:sdt>
        <w:sdtPr>
          <w:id w:val="19013124"/>
          <w:docPartObj>
            <w:docPartGallery w:val="autotext"/>
          </w:docPartObj>
        </w:sdtPr>
        <w:sdtContent>
          <w:p>
            <w:pPr>
              <w:pStyle w:val="3"/>
            </w:pPr>
            <w:r>
              <w:rPr>
                <w:lang w:val="zh-CN"/>
              </w:rPr>
              <w:t xml:space="preserve">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14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15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E8E7FDC"/>
    <w:multiLevelType w:val="multilevel"/>
    <w:tmpl w:val="0E8E7FDC"/>
    <w:lvl w:ilvl="0" w:tentative="0">
      <w:start w:val="1"/>
      <w:numFmt w:val="bullet"/>
      <w:lvlText w:val=""/>
      <w:lvlJc w:val="left"/>
      <w:pPr>
        <w:ind w:left="360" w:hanging="36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126B"/>
    <w:rsid w:val="0001559B"/>
    <w:rsid w:val="0002075C"/>
    <w:rsid w:val="00024587"/>
    <w:rsid w:val="00037BAA"/>
    <w:rsid w:val="00050B41"/>
    <w:rsid w:val="0007205F"/>
    <w:rsid w:val="00080FAC"/>
    <w:rsid w:val="000835E5"/>
    <w:rsid w:val="00086C19"/>
    <w:rsid w:val="00091D39"/>
    <w:rsid w:val="00093E8E"/>
    <w:rsid w:val="00096FDD"/>
    <w:rsid w:val="00097C91"/>
    <w:rsid w:val="000A1C4F"/>
    <w:rsid w:val="000A53B5"/>
    <w:rsid w:val="000A7B9A"/>
    <w:rsid w:val="000B25F1"/>
    <w:rsid w:val="000B5BC8"/>
    <w:rsid w:val="000B7E3F"/>
    <w:rsid w:val="000C7246"/>
    <w:rsid w:val="000E1FCC"/>
    <w:rsid w:val="000E29A1"/>
    <w:rsid w:val="000E777B"/>
    <w:rsid w:val="000F1026"/>
    <w:rsid w:val="000F2B39"/>
    <w:rsid w:val="000F6168"/>
    <w:rsid w:val="00100DF9"/>
    <w:rsid w:val="001034FB"/>
    <w:rsid w:val="0010383F"/>
    <w:rsid w:val="00106765"/>
    <w:rsid w:val="00110033"/>
    <w:rsid w:val="00123022"/>
    <w:rsid w:val="0012343B"/>
    <w:rsid w:val="00124525"/>
    <w:rsid w:val="0012740F"/>
    <w:rsid w:val="0012753C"/>
    <w:rsid w:val="00136E7A"/>
    <w:rsid w:val="00163F01"/>
    <w:rsid w:val="001704D4"/>
    <w:rsid w:val="00171343"/>
    <w:rsid w:val="00171BEC"/>
    <w:rsid w:val="00192A61"/>
    <w:rsid w:val="001937B4"/>
    <w:rsid w:val="001C3DE7"/>
    <w:rsid w:val="001C499C"/>
    <w:rsid w:val="001C6101"/>
    <w:rsid w:val="001D2597"/>
    <w:rsid w:val="001E1E38"/>
    <w:rsid w:val="001E3388"/>
    <w:rsid w:val="001F5941"/>
    <w:rsid w:val="00204ABB"/>
    <w:rsid w:val="00211798"/>
    <w:rsid w:val="00220A86"/>
    <w:rsid w:val="00226AC5"/>
    <w:rsid w:val="002270A7"/>
    <w:rsid w:val="00261EBC"/>
    <w:rsid w:val="00264F17"/>
    <w:rsid w:val="00271356"/>
    <w:rsid w:val="002859E6"/>
    <w:rsid w:val="002969E3"/>
    <w:rsid w:val="002A4136"/>
    <w:rsid w:val="002A70A7"/>
    <w:rsid w:val="002C2E4D"/>
    <w:rsid w:val="002D542B"/>
    <w:rsid w:val="002D620D"/>
    <w:rsid w:val="002E42F6"/>
    <w:rsid w:val="002F1EC4"/>
    <w:rsid w:val="002F4312"/>
    <w:rsid w:val="0030586D"/>
    <w:rsid w:val="00314EE7"/>
    <w:rsid w:val="00324D6E"/>
    <w:rsid w:val="0033126B"/>
    <w:rsid w:val="0033420A"/>
    <w:rsid w:val="00335E7C"/>
    <w:rsid w:val="00342D04"/>
    <w:rsid w:val="00345CE6"/>
    <w:rsid w:val="00353FFB"/>
    <w:rsid w:val="0036206F"/>
    <w:rsid w:val="00370BC7"/>
    <w:rsid w:val="00373E62"/>
    <w:rsid w:val="00384C68"/>
    <w:rsid w:val="0038522E"/>
    <w:rsid w:val="0039736A"/>
    <w:rsid w:val="003A1E6C"/>
    <w:rsid w:val="003B5BA5"/>
    <w:rsid w:val="003C06B6"/>
    <w:rsid w:val="003C5B6D"/>
    <w:rsid w:val="003C6F7B"/>
    <w:rsid w:val="003C74ED"/>
    <w:rsid w:val="003D6C2A"/>
    <w:rsid w:val="003F2330"/>
    <w:rsid w:val="00410217"/>
    <w:rsid w:val="00413D18"/>
    <w:rsid w:val="00424D1B"/>
    <w:rsid w:val="004315A8"/>
    <w:rsid w:val="00455996"/>
    <w:rsid w:val="004632E2"/>
    <w:rsid w:val="00477CC6"/>
    <w:rsid w:val="00481C0E"/>
    <w:rsid w:val="004849BB"/>
    <w:rsid w:val="00492E46"/>
    <w:rsid w:val="00493686"/>
    <w:rsid w:val="004A7AE8"/>
    <w:rsid w:val="004B1AFD"/>
    <w:rsid w:val="004D2721"/>
    <w:rsid w:val="004F21A1"/>
    <w:rsid w:val="004F6993"/>
    <w:rsid w:val="00501DE0"/>
    <w:rsid w:val="00506C39"/>
    <w:rsid w:val="00507D8E"/>
    <w:rsid w:val="00544951"/>
    <w:rsid w:val="0054551E"/>
    <w:rsid w:val="00550D70"/>
    <w:rsid w:val="00556B04"/>
    <w:rsid w:val="0056071E"/>
    <w:rsid w:val="00561C03"/>
    <w:rsid w:val="00581882"/>
    <w:rsid w:val="00583E93"/>
    <w:rsid w:val="0058584A"/>
    <w:rsid w:val="00591B58"/>
    <w:rsid w:val="005941E5"/>
    <w:rsid w:val="005B09D7"/>
    <w:rsid w:val="005E06B1"/>
    <w:rsid w:val="005E3440"/>
    <w:rsid w:val="005E58F4"/>
    <w:rsid w:val="00607D1E"/>
    <w:rsid w:val="00617C9D"/>
    <w:rsid w:val="0062033A"/>
    <w:rsid w:val="00621A2C"/>
    <w:rsid w:val="00623BB8"/>
    <w:rsid w:val="0063249B"/>
    <w:rsid w:val="00647D66"/>
    <w:rsid w:val="0065619A"/>
    <w:rsid w:val="00661C50"/>
    <w:rsid w:val="00661D38"/>
    <w:rsid w:val="0067462D"/>
    <w:rsid w:val="006773BB"/>
    <w:rsid w:val="006846FA"/>
    <w:rsid w:val="006878F6"/>
    <w:rsid w:val="00690D02"/>
    <w:rsid w:val="00691EF6"/>
    <w:rsid w:val="006B60D7"/>
    <w:rsid w:val="006B623C"/>
    <w:rsid w:val="006D06EA"/>
    <w:rsid w:val="006E5989"/>
    <w:rsid w:val="006E7007"/>
    <w:rsid w:val="006E764C"/>
    <w:rsid w:val="006E7E68"/>
    <w:rsid w:val="007031A9"/>
    <w:rsid w:val="0071799D"/>
    <w:rsid w:val="007313BA"/>
    <w:rsid w:val="00734128"/>
    <w:rsid w:val="007415CC"/>
    <w:rsid w:val="00741F1A"/>
    <w:rsid w:val="00746377"/>
    <w:rsid w:val="00762220"/>
    <w:rsid w:val="00794378"/>
    <w:rsid w:val="007A6787"/>
    <w:rsid w:val="007E7FD3"/>
    <w:rsid w:val="007F11CE"/>
    <w:rsid w:val="007F332E"/>
    <w:rsid w:val="008105CF"/>
    <w:rsid w:val="00811F04"/>
    <w:rsid w:val="00825386"/>
    <w:rsid w:val="008269F0"/>
    <w:rsid w:val="00826A66"/>
    <w:rsid w:val="00830327"/>
    <w:rsid w:val="0083350C"/>
    <w:rsid w:val="00833AA5"/>
    <w:rsid w:val="00843160"/>
    <w:rsid w:val="0085237B"/>
    <w:rsid w:val="00853862"/>
    <w:rsid w:val="00861E3E"/>
    <w:rsid w:val="00867374"/>
    <w:rsid w:val="008678EB"/>
    <w:rsid w:val="00872E0F"/>
    <w:rsid w:val="008764C0"/>
    <w:rsid w:val="00876F0D"/>
    <w:rsid w:val="00882479"/>
    <w:rsid w:val="00882519"/>
    <w:rsid w:val="00885223"/>
    <w:rsid w:val="0089698F"/>
    <w:rsid w:val="008A30B5"/>
    <w:rsid w:val="008B4063"/>
    <w:rsid w:val="008B5E5E"/>
    <w:rsid w:val="008C4C0F"/>
    <w:rsid w:val="008F5080"/>
    <w:rsid w:val="00912A23"/>
    <w:rsid w:val="00922649"/>
    <w:rsid w:val="0092531B"/>
    <w:rsid w:val="009258AB"/>
    <w:rsid w:val="0095289D"/>
    <w:rsid w:val="00956FEE"/>
    <w:rsid w:val="009624BB"/>
    <w:rsid w:val="00962F66"/>
    <w:rsid w:val="00967876"/>
    <w:rsid w:val="009A690C"/>
    <w:rsid w:val="009C1737"/>
    <w:rsid w:val="009C1F06"/>
    <w:rsid w:val="009C7E28"/>
    <w:rsid w:val="009E64C8"/>
    <w:rsid w:val="009F7165"/>
    <w:rsid w:val="00A03435"/>
    <w:rsid w:val="00A12F14"/>
    <w:rsid w:val="00A21870"/>
    <w:rsid w:val="00A356DA"/>
    <w:rsid w:val="00A36B18"/>
    <w:rsid w:val="00A600A4"/>
    <w:rsid w:val="00A67F7C"/>
    <w:rsid w:val="00A848BA"/>
    <w:rsid w:val="00A91FA7"/>
    <w:rsid w:val="00AA73D9"/>
    <w:rsid w:val="00AB26B6"/>
    <w:rsid w:val="00AB5EA9"/>
    <w:rsid w:val="00AB5FF2"/>
    <w:rsid w:val="00AD5CCC"/>
    <w:rsid w:val="00AD62B2"/>
    <w:rsid w:val="00AF445F"/>
    <w:rsid w:val="00AF75DE"/>
    <w:rsid w:val="00B06BF4"/>
    <w:rsid w:val="00B07F41"/>
    <w:rsid w:val="00B1626E"/>
    <w:rsid w:val="00B16465"/>
    <w:rsid w:val="00B22E22"/>
    <w:rsid w:val="00B30963"/>
    <w:rsid w:val="00B40150"/>
    <w:rsid w:val="00B45F15"/>
    <w:rsid w:val="00B60063"/>
    <w:rsid w:val="00B73155"/>
    <w:rsid w:val="00B82843"/>
    <w:rsid w:val="00B92456"/>
    <w:rsid w:val="00B97274"/>
    <w:rsid w:val="00BA1A64"/>
    <w:rsid w:val="00BA646C"/>
    <w:rsid w:val="00BD1666"/>
    <w:rsid w:val="00BD1A32"/>
    <w:rsid w:val="00BD4E90"/>
    <w:rsid w:val="00C008D8"/>
    <w:rsid w:val="00C0165A"/>
    <w:rsid w:val="00C11364"/>
    <w:rsid w:val="00C201F2"/>
    <w:rsid w:val="00C24A7E"/>
    <w:rsid w:val="00C30F6F"/>
    <w:rsid w:val="00C33F3F"/>
    <w:rsid w:val="00C56216"/>
    <w:rsid w:val="00C77711"/>
    <w:rsid w:val="00C96100"/>
    <w:rsid w:val="00CB1F99"/>
    <w:rsid w:val="00CD06DD"/>
    <w:rsid w:val="00CD34DE"/>
    <w:rsid w:val="00CD42FF"/>
    <w:rsid w:val="00CD7981"/>
    <w:rsid w:val="00CE525E"/>
    <w:rsid w:val="00D01656"/>
    <w:rsid w:val="00D04DC8"/>
    <w:rsid w:val="00D17B82"/>
    <w:rsid w:val="00D20B34"/>
    <w:rsid w:val="00D25497"/>
    <w:rsid w:val="00D36A37"/>
    <w:rsid w:val="00D3748A"/>
    <w:rsid w:val="00D41163"/>
    <w:rsid w:val="00D416C2"/>
    <w:rsid w:val="00D41CF0"/>
    <w:rsid w:val="00D66B57"/>
    <w:rsid w:val="00D75D56"/>
    <w:rsid w:val="00D94B0B"/>
    <w:rsid w:val="00D976F8"/>
    <w:rsid w:val="00DA3AD6"/>
    <w:rsid w:val="00DA6B66"/>
    <w:rsid w:val="00DB02E4"/>
    <w:rsid w:val="00DC11A1"/>
    <w:rsid w:val="00DD1000"/>
    <w:rsid w:val="00DD5F4F"/>
    <w:rsid w:val="00DD7968"/>
    <w:rsid w:val="00DE299B"/>
    <w:rsid w:val="00DF17E7"/>
    <w:rsid w:val="00E05F8E"/>
    <w:rsid w:val="00E06BE2"/>
    <w:rsid w:val="00E0713C"/>
    <w:rsid w:val="00E07849"/>
    <w:rsid w:val="00E206F2"/>
    <w:rsid w:val="00E265AC"/>
    <w:rsid w:val="00E271F1"/>
    <w:rsid w:val="00E304D4"/>
    <w:rsid w:val="00E42773"/>
    <w:rsid w:val="00E713EE"/>
    <w:rsid w:val="00E7372D"/>
    <w:rsid w:val="00E763FF"/>
    <w:rsid w:val="00E81877"/>
    <w:rsid w:val="00E9143E"/>
    <w:rsid w:val="00E9313F"/>
    <w:rsid w:val="00E93531"/>
    <w:rsid w:val="00EB1023"/>
    <w:rsid w:val="00EB68D2"/>
    <w:rsid w:val="00ED30F2"/>
    <w:rsid w:val="00ED5A59"/>
    <w:rsid w:val="00EE2F78"/>
    <w:rsid w:val="00EE3937"/>
    <w:rsid w:val="00EE4EFA"/>
    <w:rsid w:val="00EE5924"/>
    <w:rsid w:val="00EE79DB"/>
    <w:rsid w:val="00EF6232"/>
    <w:rsid w:val="00F50ABC"/>
    <w:rsid w:val="00F50D1D"/>
    <w:rsid w:val="00F75973"/>
    <w:rsid w:val="00F82DFD"/>
    <w:rsid w:val="00F841C6"/>
    <w:rsid w:val="00F8579D"/>
    <w:rsid w:val="00F93D93"/>
    <w:rsid w:val="00FA4387"/>
    <w:rsid w:val="00FB195E"/>
    <w:rsid w:val="00FD350A"/>
    <w:rsid w:val="00FD5538"/>
    <w:rsid w:val="00FF54C9"/>
    <w:rsid w:val="00FF7774"/>
    <w:rsid w:val="016F4358"/>
    <w:rsid w:val="097F1A8E"/>
    <w:rsid w:val="0AE60A81"/>
    <w:rsid w:val="0CFB6018"/>
    <w:rsid w:val="129F6619"/>
    <w:rsid w:val="1AEF33A2"/>
    <w:rsid w:val="1DA71E73"/>
    <w:rsid w:val="2824337C"/>
    <w:rsid w:val="28EA2BC0"/>
    <w:rsid w:val="29AA583B"/>
    <w:rsid w:val="2BDF043E"/>
    <w:rsid w:val="2E3D2CC8"/>
    <w:rsid w:val="34591A72"/>
    <w:rsid w:val="396603A7"/>
    <w:rsid w:val="3B550D33"/>
    <w:rsid w:val="40595566"/>
    <w:rsid w:val="41792B99"/>
    <w:rsid w:val="4D824542"/>
    <w:rsid w:val="51187966"/>
    <w:rsid w:val="54ED6258"/>
    <w:rsid w:val="56D20F06"/>
    <w:rsid w:val="57BD15E9"/>
    <w:rsid w:val="62E97BC1"/>
    <w:rsid w:val="6E113195"/>
    <w:rsid w:val="71FD4322"/>
    <w:rsid w:val="797A4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9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1">
    <w:name w:val="批注框文本 Char"/>
    <w:basedOn w:val="7"/>
    <w:link w:val="2"/>
    <w:semiHidden/>
    <w:qFormat/>
    <w:uiPriority w:val="99"/>
    <w:rPr>
      <w:sz w:val="18"/>
      <w:szCs w:val="18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810F93E-B79A-48FF-8589-42B34A00972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52flin</Company>
  <Pages>15</Pages>
  <Words>1554</Words>
  <Characters>8860</Characters>
  <Lines>73</Lines>
  <Paragraphs>20</Paragraphs>
  <TotalTime>4</TotalTime>
  <ScaleCrop>false</ScaleCrop>
  <LinksUpToDate>false</LinksUpToDate>
  <CharactersWithSpaces>10394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2018-12-27T06:59:00Z</dcterms:created>
  <dc:creator>符桑岚</dc:creator>
  <cp:lastModifiedBy>HP</cp:lastModifiedBy>
  <cp:lastPrinted>2022-03-01T01:46:00Z</cp:lastPrinted>
  <dcterms:modified xsi:type="dcterms:W3CDTF">2022-03-15T03:59:18Z</dcterms:modified>
  <cp:revision>61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8D7276E737F3401FB235CD3D26264A95</vt:lpwstr>
  </property>
</Properties>
</file>